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51E2C22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EA2754">
        <w:rPr>
          <w:sz w:val="28"/>
          <w:szCs w:val="28"/>
        </w:rPr>
        <w:t xml:space="preserve">лекарственных средств </w:t>
      </w:r>
      <w:r w:rsidR="00B447E7">
        <w:rPr>
          <w:sz w:val="28"/>
          <w:szCs w:val="28"/>
        </w:rPr>
        <w:t>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4BA4B561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051CF">
        <w:rPr>
          <w:sz w:val="28"/>
          <w:szCs w:val="28"/>
        </w:rPr>
        <w:t>1</w:t>
      </w:r>
      <w:r w:rsidR="00042DB4">
        <w:rPr>
          <w:sz w:val="28"/>
          <w:szCs w:val="28"/>
        </w:rPr>
        <w:t>6</w:t>
      </w:r>
    </w:p>
    <w:p w14:paraId="374CD669" w14:textId="6D33F287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042DB4">
        <w:rPr>
          <w:sz w:val="24"/>
          <w:szCs w:val="24"/>
        </w:rPr>
        <w:t>15</w:t>
      </w:r>
      <w:r w:rsidR="00C534D6" w:rsidRPr="00C534D6">
        <w:rPr>
          <w:sz w:val="24"/>
          <w:szCs w:val="24"/>
        </w:rPr>
        <w:t xml:space="preserve"> </w:t>
      </w:r>
      <w:r w:rsidR="00C134B2">
        <w:rPr>
          <w:sz w:val="24"/>
          <w:szCs w:val="24"/>
        </w:rPr>
        <w:t>апреля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8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24"/>
        <w:gridCol w:w="8222"/>
        <w:gridCol w:w="671"/>
        <w:gridCol w:w="1007"/>
        <w:gridCol w:w="1126"/>
        <w:gridCol w:w="1517"/>
      </w:tblGrid>
      <w:tr w:rsidR="000A4185" w:rsidRPr="00B35BD1" w14:paraId="0A5CB9F5" w14:textId="77777777" w:rsidTr="00EA2754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EA2754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2CA6" w:rsidRPr="00C92AD8" w14:paraId="754DDDDA" w14:textId="77777777" w:rsidTr="008C488C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674C77D" w:rsidR="000B2CA6" w:rsidRPr="0037381B" w:rsidRDefault="000B2CA6" w:rsidP="000B2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42897799" w:rsidR="000B2CA6" w:rsidRPr="000B2CA6" w:rsidRDefault="00013C0A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Цефазолин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6EF" w14:textId="6347EA18" w:rsidR="000B2CA6" w:rsidRPr="000B2CA6" w:rsidRDefault="00013C0A" w:rsidP="000B2CA6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 внутривенного введения 1 гр.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3E6D145E" w:rsidR="000B2CA6" w:rsidRPr="000B2CA6" w:rsidRDefault="00013C0A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4533E41E" w:rsidR="000B2CA6" w:rsidRPr="000B2CA6" w:rsidRDefault="00013C0A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25 000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555D910D" w:rsidR="000B2CA6" w:rsidRPr="000B2CA6" w:rsidRDefault="00013C0A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164,58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747C90A8" w:rsidR="000B2CA6" w:rsidRPr="000B2CA6" w:rsidRDefault="00013C0A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4 114 500</w:t>
            </w:r>
          </w:p>
        </w:tc>
      </w:tr>
      <w:tr w:rsidR="000B2CA6" w:rsidRPr="00A05EDB" w14:paraId="7EF66D81" w14:textId="77777777" w:rsidTr="00EA2754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0B2CA6" w:rsidRPr="00A05EDB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7A32CBA9" w:rsidR="000B2CA6" w:rsidRPr="00EA2754" w:rsidRDefault="00013C0A" w:rsidP="000B2CA6">
            <w:pPr>
              <w:pStyle w:val="a7"/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4 114</w:t>
            </w:r>
            <w:r w:rsidR="00863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500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5F88838B" w:rsidR="009B4EEE" w:rsidRPr="00EA2754" w:rsidRDefault="009B4EEE" w:rsidP="00EA275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EA2754">
        <w:rPr>
          <w:rFonts w:ascii="Times New Roman" w:hAnsi="Times New Roman" w:cs="Times New Roman"/>
          <w:spacing w:val="2"/>
        </w:rPr>
        <w:t>Аптека</w:t>
      </w:r>
      <w:r w:rsidR="006E7A50" w:rsidRPr="00EA2754">
        <w:rPr>
          <w:rFonts w:ascii="Times New Roman" w:hAnsi="Times New Roman" w:cs="Times New Roman"/>
          <w:spacing w:val="2"/>
        </w:rPr>
        <w:t>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4C7A7B8B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6901DB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50EDF42D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13C0A">
        <w:rPr>
          <w:rFonts w:ascii="Times New Roman" w:hAnsi="Times New Roman" w:cs="Times New Roman"/>
          <w:b/>
          <w:spacing w:val="2"/>
        </w:rPr>
        <w:t>16</w:t>
      </w:r>
      <w:r w:rsidR="000B2CA6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013C0A">
        <w:rPr>
          <w:rFonts w:ascii="Times New Roman" w:hAnsi="Times New Roman" w:cs="Times New Roman"/>
          <w:b/>
          <w:spacing w:val="2"/>
        </w:rPr>
        <w:t>23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013C0A">
        <w:rPr>
          <w:rFonts w:ascii="Times New Roman" w:hAnsi="Times New Roman" w:cs="Times New Roman"/>
          <w:b/>
          <w:spacing w:val="2"/>
        </w:rPr>
        <w:t>23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13C0A">
        <w:rPr>
          <w:rFonts w:ascii="Times New Roman" w:hAnsi="Times New Roman" w:cs="Times New Roman"/>
          <w:b/>
          <w:spacing w:val="2"/>
        </w:rPr>
        <w:t>23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lastRenderedPageBreak/>
        <w:t>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0A5E5C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6901DB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1) </w:t>
      </w:r>
      <w:r w:rsidRPr="006901DB">
        <w:rPr>
          <w:rFonts w:ascii="Times New Roman" w:hAnsi="Times New Roman" w:cs="Times New Roman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6901DB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6901DB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6B64251E" w:rsidR="00DE1A5E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7BF0ED8D" w14:textId="64D62B9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5312F4" w14:textId="190ADEFA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18E979" w14:textId="43C199D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372FCE" w14:textId="6131F13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FF9CBA" w14:textId="102C6BEE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355391" w14:textId="7FD3ADCD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F804A" w14:textId="2BA989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109005" w14:textId="7071D6B2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46646C" w14:textId="5987638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1A874" w14:textId="6CA83A63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D4D66A" w14:textId="5C324A1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514D4B" w14:textId="1A0EF02B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2064C2" w14:textId="4B441BD3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EC3F41" w14:textId="18434CAD" w:rsidR="009F7F53" w:rsidRDefault="009F7F53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E134D4" w14:textId="77777777" w:rsidR="009F7F53" w:rsidRDefault="009F7F53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45A6" w14:textId="0C32E778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E6AB3B" w14:textId="0743B8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7F8" w14:textId="7777777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065024A3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78346154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AA614E7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lastRenderedPageBreak/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16591568" w:rsidR="00170717" w:rsidRDefault="00EA2754" w:rsidP="0017071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</w:t>
      </w:r>
      <w:r w:rsidR="00170717" w:rsidRPr="00F41C3E">
        <w:rPr>
          <w:b/>
          <w:sz w:val="18"/>
          <w:szCs w:val="18"/>
        </w:rPr>
        <w:t xml:space="preserve">Общая сумма Договора: </w:t>
      </w:r>
    </w:p>
    <w:p w14:paraId="116C6973" w14:textId="77777777" w:rsidR="00EA2754" w:rsidRPr="00F41C3E" w:rsidRDefault="00EA2754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54B5FCE4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  <w:p w14:paraId="5B70975F" w14:textId="77777777" w:rsidR="00EA2754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  <w:p w14:paraId="2FC5BFD9" w14:textId="64B3A93E" w:rsidR="00EA2754" w:rsidRPr="00F41C3E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6901DB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B4715FF" w14:textId="77777777" w:rsidR="006901DB" w:rsidRDefault="006901DB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14:paraId="1496EBAE" w14:textId="77777777" w:rsidR="006901DB" w:rsidRDefault="006901DB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32316C9" w14:textId="08F0AFDA" w:rsidR="00170717" w:rsidRPr="002C10E9" w:rsidRDefault="00170717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6901DB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7CDC2F80" w:rsidR="00D42C95" w:rsidRPr="001E49BB" w:rsidRDefault="00D42C95" w:rsidP="009F7F53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32C"/>
    <w:multiLevelType w:val="hybridMultilevel"/>
    <w:tmpl w:val="04F462C0"/>
    <w:lvl w:ilvl="0" w:tplc="44C23F62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5D327F1B"/>
    <w:multiLevelType w:val="hybridMultilevel"/>
    <w:tmpl w:val="8054B74E"/>
    <w:lvl w:ilvl="0" w:tplc="9F90F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3C0A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DB4"/>
    <w:rsid w:val="00042F1D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2CA6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1DE7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64B6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07EE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1DB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38B4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9F7F53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059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51CF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34B2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96152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2754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5984-DDE2-44AF-9173-6F377C66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6833</TotalTime>
  <Pages>17</Pages>
  <Words>9582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856</cp:revision>
  <cp:lastPrinted>2024-04-15T10:22:00Z</cp:lastPrinted>
  <dcterms:created xsi:type="dcterms:W3CDTF">2017-02-20T06:30:00Z</dcterms:created>
  <dcterms:modified xsi:type="dcterms:W3CDTF">2024-04-15T10:22:00Z</dcterms:modified>
</cp:coreProperties>
</file>