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41F546DA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7C7427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2A7528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54A5D14B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2A7528">
        <w:rPr>
          <w:sz w:val="28"/>
          <w:szCs w:val="28"/>
        </w:rPr>
        <w:t>2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20DDE7D1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882E75">
        <w:rPr>
          <w:sz w:val="24"/>
          <w:szCs w:val="24"/>
        </w:rPr>
        <w:t>6</w:t>
      </w:r>
      <w:r w:rsidR="008D33CA">
        <w:rPr>
          <w:sz w:val="24"/>
          <w:szCs w:val="24"/>
        </w:rPr>
        <w:t xml:space="preserve"> </w:t>
      </w:r>
      <w:r w:rsidR="007C7427">
        <w:rPr>
          <w:sz w:val="24"/>
          <w:szCs w:val="24"/>
        </w:rPr>
        <w:t>дека</w:t>
      </w:r>
      <w:r w:rsidR="00AC0FC4">
        <w:rPr>
          <w:sz w:val="24"/>
          <w:szCs w:val="24"/>
        </w:rPr>
        <w:t>бря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9F778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1E926940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tbl>
      <w:tblPr>
        <w:tblW w:w="14775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870"/>
        <w:gridCol w:w="6347"/>
        <w:gridCol w:w="812"/>
        <w:gridCol w:w="1098"/>
        <w:gridCol w:w="1879"/>
        <w:gridCol w:w="2248"/>
      </w:tblGrid>
      <w:tr w:rsidR="00086BAE" w:rsidRPr="00B35BD1" w14:paraId="176AFC97" w14:textId="77777777" w:rsidTr="00D80D49">
        <w:trPr>
          <w:trHeight w:val="509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D7A2" w14:textId="13C5211C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="003A36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5730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B783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42E5CC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68859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596B84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6EBD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86BAE" w:rsidRPr="00B35BD1" w14:paraId="2CCF91C5" w14:textId="77777777" w:rsidTr="00D80D49">
        <w:trPr>
          <w:trHeight w:val="509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B9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D6B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19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85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0BE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E8C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30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123AB" w:rsidRPr="00B35BD1" w14:paraId="6D9F7E12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3D" w14:textId="3855A20A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B0005" w14:textId="21EA32AF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Шприцы с сухим гепарином для анализа газов крови с иглами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C6548" w14:textId="638F64BB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с сухим гепарином для анализа газов крови 1 мл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слип. Количество в упаковке: 10 х 5 шт. диагностическое медицинское устройство предназначены для взятия артериальной или венозной крови для исследования газов, рН, электролитов и метаболитов с помощью анализаторов газов крови.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Гепаринизированные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шприцы наполнены электролит-сбалансированным гепарином.</w:t>
            </w:r>
            <w:r w:rsidR="00E53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Внешний вид: -Шприц снабжен хорошо заметными метками для точного дозирования необходимого объёма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  -</w:t>
            </w:r>
            <w:proofErr w:type="gramEnd"/>
            <w:r w:rsidR="00E53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Малый «мертвый» объем шприца (менее 5%) позволяет достичь   высокой точности результатов  -Каждый шприц стерилен и упакован индивидуально.</w:t>
            </w:r>
            <w:r w:rsidR="00E53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Разъем: Шприцы имеют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Luer-Slip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-разъем) для стандартной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-иглы или иглы-бабочки.</w:t>
            </w:r>
            <w:r w:rsidR="00E53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комплектацию входят:- Колпачок-заглушка зеленого цвет. Объём литий-гепарина: Содержит -50</w:t>
            </w:r>
            <w:r w:rsidR="00E53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-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ME гепарина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4E1A" w14:textId="16936F3B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2F36" w14:textId="311EF36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F684" w14:textId="0B6D003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263C" w14:textId="6FAD846F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3 220 000,00</w:t>
            </w:r>
          </w:p>
        </w:tc>
      </w:tr>
      <w:tr w:rsidR="006123AB" w:rsidRPr="00B35BD1" w14:paraId="4C17D6F7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DFC73" w14:textId="499E9ECB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A8406" w14:textId="1BF52192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для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перфузора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инфузомата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7A627" w14:textId="7FAC9C4D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 xml:space="preserve">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</w:t>
            </w:r>
            <w:proofErr w:type="spellStart"/>
            <w:r w:rsidRPr="006123AB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>Люэр</w:t>
            </w:r>
            <w:proofErr w:type="spellEnd"/>
            <w:r w:rsidRPr="006123AB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 xml:space="preserve"> </w:t>
            </w:r>
            <w:proofErr w:type="spellStart"/>
            <w:r w:rsidRPr="006123AB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>лок</w:t>
            </w:r>
            <w:proofErr w:type="spellEnd"/>
            <w:r w:rsidRPr="006123AB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 xml:space="preserve"> для игл или других медицинских принадлежностей (инфузионных линий) 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(не содержит натуральный латекс) с двумя уплотнительными кольцами для медленной аспирации или введения лекарств. Емкость 50,0 мл</w:t>
            </w:r>
            <w:r w:rsidR="00DA6A29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DD167" w14:textId="29EC63CF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2ED6" w14:textId="6CBDBA1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C073" w14:textId="4598DF8B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FED85" w14:textId="14C4B39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2 847 500,00</w:t>
            </w:r>
          </w:p>
        </w:tc>
      </w:tr>
      <w:tr w:rsidR="006123AB" w:rsidRPr="00B35BD1" w14:paraId="09B585E0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65C6" w14:textId="653E9C26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40A9" w14:textId="2615B196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Шприц инъекционный однократного применения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трехдетальный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  <w:r w:rsidR="00DA6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мл с наконечником для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катетерной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насадки 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2642B" w14:textId="294A8F46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Шприц инъекционный однократного применения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трехдетальный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  <w:r w:rsidR="00DA6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мл с наконечником для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катетерной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насадки. Шприц Жане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981D" w14:textId="7D63485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D9037" w14:textId="64DBECF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553D" w14:textId="641F20E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CD509" w14:textId="193D9E27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3 665 400,00</w:t>
            </w:r>
          </w:p>
        </w:tc>
      </w:tr>
      <w:tr w:rsidR="006123AB" w:rsidRPr="00B35BD1" w14:paraId="31DCE582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A821F" w14:textId="2DF945CE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ED114" w14:textId="2C674AB8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120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7C2BB" w14:textId="6CE07829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Изделие, предназначенное для оперативного контроля условий стерилизации медицинских изделий в паровых и воздушных стерилизаторах при температурах 120, 132 и 180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градусов. В упаковке 1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штук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6714E" w14:textId="1B08C97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569FF" w14:textId="3B2519F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01901" w14:textId="1961123D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C2324" w14:textId="3C055FE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195 000,00</w:t>
            </w:r>
          </w:p>
        </w:tc>
      </w:tr>
      <w:tr w:rsidR="006123AB" w:rsidRPr="00B35BD1" w14:paraId="21155DEA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D1EE2" w14:textId="4EF7CE2C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66C0A" w14:textId="7A6EC03E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132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B8E5B" w14:textId="6299B9DB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Изделие, предназначенное для оперативного контроля условий стерилизации медицинских изделий в паровых и воздушных стерилизаторах при температурах 120, 132 и 180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градусов.  В упаковке 1000 штук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00EA" w14:textId="080D4720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F245" w14:textId="006E404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EBB3" w14:textId="20A50A10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D196D" w14:textId="767FBD9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</w:tr>
      <w:tr w:rsidR="006123AB" w:rsidRPr="00B35BD1" w14:paraId="76E22FF3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AA54" w14:textId="13AD3BC3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73894" w14:textId="3E7BE75E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180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233FF" w14:textId="537182CA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Изделие, предназначенное для оперативного контроля условий стерилизации медицинских изделий в паровых и воздушных стерилизаторах при температурах 120, 132 и 180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градусов. В упаковке 1000 штук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19A3F" w14:textId="4C76385B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036" w14:textId="6E5CC682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CDB9F" w14:textId="7838660E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2187D" w14:textId="26B0189B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</w:tr>
      <w:tr w:rsidR="006123AB" w:rsidRPr="00B35BD1" w14:paraId="64E0D7BF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84CA" w14:textId="77DA7024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F16E4" w14:textId="44B37073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134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E1D0B" w14:textId="674FE9BB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Изделие, предназначенное для оперативного контроля условий стерилизации медицинских изделий в паровых и воздушных стерилизаторах при температурах 120, 132 и 180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градусов. В упаковке 1000 штук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FE59" w14:textId="7826D23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5D85" w14:textId="045A93FF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E9234" w14:textId="21EC4A39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BBB65" w14:textId="00E8231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6123AB" w:rsidRPr="00B35BD1" w14:paraId="068069B5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9A37F" w14:textId="120D2026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0232" w14:textId="0C4D88A6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анестезиологическая средняя взрослая, размер 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27CF" w14:textId="6889693C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средняя лицевая маска для взрослых анатомической формы, соединительный коннектор 22F, с мягкой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силиконизированной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зелёного цвета, с прозрачным корпусом, без содержания ПВХ. Корпус </w:t>
            </w:r>
            <w:proofErr w:type="spellStart"/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4. Материалы: полиэтилен, полипропилен, эластомер. Экологична при производстве и утилизации. Упаковка индивидуальная, клинически чистая, 35шт. в упаковке.                  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FC66" w14:textId="6F37D7E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9CAD7" w14:textId="4C6219A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88A1" w14:textId="6A7FBF3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138E4" w14:textId="41D771C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153 000,00</w:t>
            </w:r>
          </w:p>
        </w:tc>
      </w:tr>
      <w:tr w:rsidR="006123AB" w:rsidRPr="00B35BD1" w14:paraId="52493871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518E9" w14:textId="1C970A14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15D" w14:textId="7A97045A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анестезиологическая средняя взрослая, размер 5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8E188" w14:textId="0E8EDD92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средняя лицевая маска для взрослых анатомической формы, соединительный коннектор 22F, с мягкой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силиконизированной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оранжевого цвета, с прозрачным корпусом, без содержания ПВХ. Корпус </w:t>
            </w:r>
            <w:proofErr w:type="spellStart"/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5. Материалы: полиэтилен, полипропилен, эластомер. Экологична при производстве и утилизации. Упаковка индивидуальная, клинически чистая, 35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шт. в упаковке.                    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19D0" w14:textId="7B5AC92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8209F" w14:textId="64E451F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485A" w14:textId="26290E0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A7AB" w14:textId="100BFD3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229 500,00</w:t>
            </w:r>
          </w:p>
        </w:tc>
      </w:tr>
      <w:tr w:rsidR="006123AB" w:rsidRPr="00B35BD1" w14:paraId="3DE4CFC5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557F" w14:textId="31A05369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EEBC" w14:textId="19D6DAAC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gram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лицевая  анестезиологическая</w:t>
            </w:r>
            <w:proofErr w:type="gram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 взрослая № 2 –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жеелтая</w:t>
            </w:r>
            <w:proofErr w:type="spellEnd"/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C770B" w14:textId="65F0FD36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средняя лицевая маска для взрослых анатомической формы, соединительный коннектор 22F,с мягкой, заполненной воздухом, манжетой по периметру маски, с прозрачным корпусом, со стороны дыхательного контура, цветная маркировка перекрестного крепления, расположенного на основании разъема с дыхательным контуром, без содержания ПВХ. Корпус </w:t>
            </w:r>
            <w:proofErr w:type="spellStart"/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2. Материалы: полиэтилен,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полипропилен, эластомер. Экологична при производстве и утилизации. Упаковка индивидуальная, клинически чистая, 35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шт. в упаковке.                                                               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A52F" w14:textId="44A32BBF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BACA" w14:textId="42D209C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AB280" w14:textId="0ECD73B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872D" w14:textId="7ADC8F8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52 500,00</w:t>
            </w:r>
          </w:p>
        </w:tc>
      </w:tr>
      <w:tr w:rsidR="006123AB" w:rsidRPr="00B35BD1" w14:paraId="34434477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AB67" w14:textId="6FF56E18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F5F6A" w14:textId="628FA78A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gram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лицевая  анестезиологическая</w:t>
            </w:r>
            <w:proofErr w:type="gram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 взрослая № 3 –зеленая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C4CE8" w14:textId="692EE70B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средняя лицевая маска для взрослых анатомической формы, соединительный коннектор 22F,с мягкой, заполненной воздухом, манжетой по периметру маски, с прозрачным корпусом, со стороны дыхательного контура, цветная маркировка перекрестного крепления, расположенного на основании разъема с дыхательным контуром, без содержания ПВХ. Корпус </w:t>
            </w:r>
            <w:proofErr w:type="spellStart"/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3. Материалы: полиэтилен, полипропилен, эластомер. Экологична при производстве и утилизации. Упаковка индивидуальная, клинически чистая, 35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шт. в упаковке.                                                              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F5399" w14:textId="1FFD69B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DCF6" w14:textId="57CCF1D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B50B" w14:textId="6C676C19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1B26" w14:textId="56AAD97E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6123AB" w:rsidRPr="00B35BD1" w14:paraId="4C32E990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EE03" w14:textId="0E77F61C" w:rsidR="006123AB" w:rsidRPr="00A05ED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39094" w14:textId="3C1B35AB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gram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лицевая  анестезиологическая</w:t>
            </w:r>
            <w:proofErr w:type="gram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 взрослая № 4 –красная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E4D0A" w14:textId="47627673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средняя лицевая маска для взрослых анатомической формы, соединительный коннектор 22F,с мягкой, заполненной воздухом, манжетой по периметру маски, с прозрачным корпусом, со стороны дыхательного контура, цветная маркировка перекрестного крепления, расположенного на основании разъема с дыхательным контуром, без содержания ПВХ. Корпус </w:t>
            </w:r>
            <w:proofErr w:type="spellStart"/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4. Материалы: полиэтилен, полипропилен, эластомер. Экологична при производстве и утилизации. Упаковка индивидуальная, клинически чистая, 35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шт. в упаковке.                                                       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5937" w14:textId="558EE0B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71FC" w14:textId="6550289E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DD0A" w14:textId="4F332890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2924A" w14:textId="78A7FD1E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123AB" w:rsidRPr="00B35BD1" w14:paraId="3A40CF36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B5579" w14:textId="03E08B21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AD874" w14:textId="7AE6C778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gram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лицевая  анестезиологическая</w:t>
            </w:r>
            <w:proofErr w:type="gram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 взрослая №</w:t>
            </w:r>
            <w:r w:rsidR="00DA6A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5-синий 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9748" w14:textId="2766F15F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 большая лицевая маска для взрослых анатомической формы, соединительный коннектор 22F, с мягкой, заполненной воздухом, манжетой по периметру маски, с прозрачным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корпусом,со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стороны дыхательного контура, цветная маркировка перекрестного крепления, расположенного на основании разъема с дыхательным контуром, без содержания ПВХ. Корпус </w:t>
            </w:r>
            <w:proofErr w:type="spellStart"/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5. Материалы: полиэтилен, полипропилен, эластомер. Экологична при производстве и утилизации. Упаковка индивидуальная, клинически чистая, 25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шт. в упаковке.                                                              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E8763" w14:textId="52A48517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BFD3" w14:textId="0C929CC0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D9D7" w14:textId="6F94199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054A" w14:textId="1FA767C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123AB" w:rsidRPr="00B35BD1" w14:paraId="2AA7FFA7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8D2C0" w14:textId="130D8C35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9E58B" w14:textId="74457C6F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12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7DE83" w14:textId="28C3962D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1957" w14:textId="72650CE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8D89B" w14:textId="29AC912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560C" w14:textId="5C491E4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FCDA" w14:textId="7C1B1122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210 000,00</w:t>
            </w:r>
          </w:p>
        </w:tc>
      </w:tr>
      <w:tr w:rsidR="006123AB" w:rsidRPr="00B35BD1" w14:paraId="17F14E33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FC2EC" w14:textId="6CDCADA5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5B2B4" w14:textId="356D3DEA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14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55B23" w14:textId="34271136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пузыря.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изготовлены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2CF3" w14:textId="2FE0AE6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73AF2" w14:textId="598EFC9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397E" w14:textId="5D7CBA3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7FF9" w14:textId="14FFD06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123AB" w:rsidRPr="00B35BD1" w14:paraId="4F42E817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2232" w14:textId="07BEF705" w:rsidR="006123AB" w:rsidRDefault="006123AB" w:rsidP="00612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E8725" w14:textId="34E9E644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16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36C03" w14:textId="59CC079A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пузыря.</w:t>
            </w:r>
            <w:r w:rsidR="00DA6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изготовлены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38A33" w14:textId="30DD704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9C1EF" w14:textId="3A290852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1CDE1" w14:textId="5330F1ED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2BD8" w14:textId="17BDFD8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990 000,00</w:t>
            </w:r>
          </w:p>
        </w:tc>
      </w:tr>
      <w:tr w:rsidR="006123AB" w:rsidRPr="00B35BD1" w14:paraId="3F67384A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5FC21" w14:textId="47ED69B4" w:rsidR="006123AB" w:rsidRDefault="006123AB" w:rsidP="00612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6658A" w14:textId="6EB3AAC9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18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23A06" w14:textId="7DABC831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8B851" w14:textId="422C04A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3E7D9" w14:textId="2DBB301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434D" w14:textId="0130CFC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C827" w14:textId="489EDA1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6123AB" w:rsidRPr="00B35BD1" w14:paraId="0100B604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C6167" w14:textId="7895238F" w:rsidR="006123AB" w:rsidRDefault="006123AB" w:rsidP="00612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17F10" w14:textId="11212F99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20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7010" w14:textId="412BC8F7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инстилляции, гемостаз и промывания.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BFB31" w14:textId="47C9710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0576D" w14:textId="1602672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6B527" w14:textId="753BE07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A117" w14:textId="151F0FE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123AB" w:rsidRPr="00B35BD1" w14:paraId="7BFF2760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81A9C" w14:textId="780618D8" w:rsidR="006123AB" w:rsidRDefault="006123AB" w:rsidP="006123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1B487" w14:textId="63B195F0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22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78193" w14:textId="0FD4D528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пузыря.</w:t>
            </w:r>
            <w:r w:rsidR="00782B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изготовлены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2B8C6" w14:textId="4838DCF7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4BA2" w14:textId="4881BBDB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D7F8A" w14:textId="3410AF6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28403" w14:textId="7F24E88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</w:tr>
      <w:tr w:rsidR="006123AB" w:rsidRPr="00B35BD1" w14:paraId="58A0511D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E08F8" w14:textId="57EEDAA5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AED0E" w14:textId="45F8E658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Катетер 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  3- ходовой №-20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51F8E" w14:textId="78A9A870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72E4" w14:textId="1FAFD52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C424F" w14:textId="3791652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8B45B" w14:textId="5FE177A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DC54" w14:textId="67B84B9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6123AB" w:rsidRPr="00B35BD1" w14:paraId="0507C713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C29B" w14:textId="1634D7C4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B51C" w14:textId="243988E0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Мочеприемник Т-образный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клапан  2000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3D64E" w14:textId="73021EFE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Мочеприемник Т-образный клапан  2000 мл, стерильный;</w:t>
            </w:r>
            <w:r w:rsidR="00782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 встроенным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антивозвратным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клапаном;Т-образный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кран быстрого слива мочи; мягкая подкладка обеспечивает повышенный комфорт; снабжен длинной, гибкой трубкой, устойчивой к перегибам; возможно крепление как к бедру, так и к голени; предназначен для использования как у мужчин, так и у женщин.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2DB9" w14:textId="3BCA775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05AC" w14:textId="61502CB9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A6DE1" w14:textId="5BD0AE4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14C7" w14:textId="6FBB3B1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1 075 000,00</w:t>
            </w:r>
          </w:p>
        </w:tc>
      </w:tr>
      <w:tr w:rsidR="006123AB" w:rsidRPr="00B35BD1" w14:paraId="2C21705E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2ED0" w14:textId="15E58BC6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A9A4" w14:textId="7CD735B3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Мочеприемник Т-образный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клапан  1000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0EEBE" w14:textId="67340B89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Т-образный клапан  1000 мл,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стерильный;оборудован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встроенным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антивозвратным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клапаном;Т-образный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кран быстрого слива мочи; мягкая подкладка обеспечивает повышенный комфорт; снабжен длинной, гибкой трубкой, устойчивой к перегибам; возможно крепление как к бедру, так и к голени; предназначен для использования как у мужчин, так и у женщин.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3B3BD" w14:textId="52AB7C2E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2FC6E" w14:textId="17C7E2C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AC63A" w14:textId="6A52CB1F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8DBE" w14:textId="0547494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210 000,00</w:t>
            </w:r>
          </w:p>
        </w:tc>
      </w:tr>
      <w:tr w:rsidR="006123AB" w:rsidRPr="00B35BD1" w14:paraId="2FC176BD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B741D" w14:textId="20224CA7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25A31" w14:textId="1AD289DA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оранжевый 14 G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B0BF4" w14:textId="19FF2300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656BF" w14:textId="6BEE705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C5AF" w14:textId="3557D1E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EC4C8" w14:textId="051C7C2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01063" w14:textId="30D30FCD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6123AB" w:rsidRPr="00B35BD1" w14:paraId="71DC9E43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243C" w14:textId="530F03CE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ED5C1" w14:textId="2C11F115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Периферический венозный катетер - канюля серый </w:t>
            </w:r>
            <w:r w:rsidRPr="00612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(16G)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B43A6" w14:textId="475A82A7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тефлона, центральное отверстие с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F1EC8" w14:textId="76531A3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CB2A6" w14:textId="6D213F6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E7BE5" w14:textId="2F8AAF8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3E81E" w14:textId="767CCF2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230 000,00</w:t>
            </w:r>
          </w:p>
        </w:tc>
      </w:tr>
      <w:tr w:rsidR="006123AB" w:rsidRPr="00B35BD1" w14:paraId="71D1E01D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E9E26" w14:textId="02C2F5B8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5E3EE" w14:textId="2D239702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зеленый 18 G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1048" w14:textId="4964F62D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6681" w14:textId="4144FD0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6696" w14:textId="0EAAF55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46EEC" w14:textId="4F92EC9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012E7" w14:textId="528C0CFD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123AB" w:rsidRPr="00B35BD1" w14:paraId="39966768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D381" w14:textId="5773E492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FE848" w14:textId="61DB2A76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розовый 20 G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F0C11" w14:textId="2FF8E7EE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EB008" w14:textId="7AE660F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042A" w14:textId="7323A75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9041" w14:textId="39D7C84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AF503" w14:textId="262B995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123AB" w:rsidRPr="00B35BD1" w14:paraId="036301D0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395A1" w14:textId="766138D6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2238" w14:textId="71A5C1D7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синий 22 G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DAB4A" w14:textId="7F0A5A40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13C4" w14:textId="4B3540E9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036E6" w14:textId="550807A1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6D039" w14:textId="3019954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FD2A" w14:textId="6080FDA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6123AB" w:rsidRPr="00B35BD1" w14:paraId="570DE71A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D8F3" w14:textId="2942376D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8D82" w14:textId="4F8F5A8A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желтый 24 G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AAD03" w14:textId="4991316E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C1E70" w14:textId="622225DF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87A11" w14:textId="5313BED7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FADAE" w14:textId="378D2E59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694F9" w14:textId="3E37E9EB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273 000,00</w:t>
            </w:r>
          </w:p>
        </w:tc>
      </w:tr>
      <w:tr w:rsidR="006123AB" w:rsidRPr="00B35BD1" w14:paraId="7F9415EE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B061B" w14:textId="19F6801D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6105A" w14:textId="0215B132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УЗИ 5л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E1EAC" w14:textId="027F4B72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Гель для УЗИ не содержит в своем составе пропиленгликоль, что снижает его способность вызывать аллергические </w:t>
            </w:r>
            <w:proofErr w:type="spellStart"/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реакции,средней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вязкости. Гель для УЗИ обладает следующими характеристиками: • акустически корректен в широкой области частот; • полностью водорастворим; • гипоаллергенен,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бактериостатичен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нетоксичен; • не оставляет пятен на одежде и не наносит вреда датчикам аппаратуры. Гель для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УЗИ  -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универсальный гель для всех видов ультразвуковых исследований, допплерографии,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эхографии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терапии. Так как гель прозрачен и бесцветен, обладает легкой и приятной текстурой, его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можно применять для аппаратной косметологии, фото- и лазерной эпиляции.</w:t>
            </w:r>
            <w:r w:rsidR="00BC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5кг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B5505" w14:textId="2442C49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канистра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984EC" w14:textId="307D141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D2A73" w14:textId="4977E55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25A03" w14:textId="17A6C6B4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123AB" w:rsidRPr="00B35BD1" w14:paraId="0CE98DDF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EB14" w14:textId="57AC59C7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F071A" w14:textId="714341B2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Одноразовые ЭКГ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электроды  (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взрослые)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нетканная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 д 50 мм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04A0F" w14:textId="47BACE45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Электроды одноразовые для ЭКГ предназначены для снятия электрокардиограмм при использовании в составе любых диагностических электрокардиографов и ЭКГ-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мониторов,  в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 числе и для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Холтеров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60494" w14:textId="6488043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8785" w14:textId="5116489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C66C" w14:textId="5EEC5CF7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1CD31" w14:textId="2CB756D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1 760 000,00</w:t>
            </w:r>
          </w:p>
        </w:tc>
      </w:tr>
      <w:tr w:rsidR="006123AB" w:rsidRPr="00B35BD1" w14:paraId="6CEF0A87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B4562" w14:textId="4B353A9C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18996" w14:textId="108B00D3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Дренажная емкость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 «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Гармошка» 200 мл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7EFD3" w14:textId="5B835343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дренажная для аспирации</w:t>
            </w:r>
            <w:r w:rsidR="00BC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комплектации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1.Дренажная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емкость контейнер “Гармошка» с объемом 200мл.; 3.Раневой дренаж с троакаром 14 CH 4.Соединительные магистрали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82B32" w14:textId="2A552F5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E0A2F" w14:textId="2106053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991EE" w14:textId="7F028B9B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01DAB" w14:textId="1FB2B2D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325 000,00</w:t>
            </w:r>
          </w:p>
        </w:tc>
      </w:tr>
      <w:tr w:rsidR="006123AB" w:rsidRPr="00B35BD1" w14:paraId="6AA853A2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837D" w14:textId="6F5A8EDA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55BAD" w14:textId="2583D3EC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Дренажная емкость </w:t>
            </w:r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 «</w:t>
            </w:r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Гармошка» 500 мл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F310" w14:textId="04BB4529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Высокопроизводительные дренажные системы аспирации</w:t>
            </w:r>
            <w:r w:rsidR="00BC3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в комплектации </w:t>
            </w:r>
            <w:r w:rsidRPr="006123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1.Дренажная</w:t>
            </w:r>
            <w:proofErr w:type="gram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емкость контейнер “Гармошка» с объемом 500мл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B5FFE" w14:textId="579724E5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E4912" w14:textId="5C6F3836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6216A" w14:textId="31CC5359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CAC3D" w14:textId="06A64E1C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123AB" w:rsidRPr="00B35BD1" w14:paraId="147D263B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28BF" w14:textId="7BFD5B39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2D850" w14:textId="350F344E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Презервартив</w:t>
            </w:r>
            <w:proofErr w:type="spell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УЗИ  №</w:t>
            </w:r>
            <w:proofErr w:type="gramEnd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1665C" w14:textId="23566DA7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Презервативы для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-вагинального датчика аппарата ультразвукового исследования (УЗИ). Специально без смазки, так как для УЗИ используется особая проводящая смазка, которая несовместима с силиконовой смазкой. Без накопителя для более плотного облегания датчика аппарата УЗИ. Прозрачные, легко одеваются на датчик, не соскальзывают, не образуют складок, тем самым не вносят помех в исследование. Рекомендованы для использования со всеми видами датчиков аппарата УЗИ. Номинальные размеры: длина — 210 мм ширина — 28 мм толщина стенки — 0,080 - 0,095мм. В упаковке 4 штуки.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07D1C" w14:textId="45B966ED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C8305" w14:textId="74AE61F8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B4DBA" w14:textId="60F1590F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BC9A" w14:textId="25F278EE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325 000,00</w:t>
            </w:r>
          </w:p>
        </w:tc>
      </w:tr>
      <w:tr w:rsidR="006123AB" w:rsidRPr="00B35BD1" w14:paraId="0D7E7444" w14:textId="77777777" w:rsidTr="006123AB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E7992" w14:textId="56B10F53" w:rsidR="006123AB" w:rsidRDefault="006123AB" w:rsidP="00612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A9354" w14:textId="62160C30" w:rsidR="006123AB" w:rsidRPr="006123AB" w:rsidRDefault="006123AB" w:rsidP="00612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Шорты одноразовые</w:t>
            </w:r>
          </w:p>
        </w:tc>
        <w:tc>
          <w:tcPr>
            <w:tcW w:w="6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2EDAF" w14:textId="481AD4E5" w:rsidR="006123AB" w:rsidRPr="006123AB" w:rsidRDefault="006123AB" w:rsidP="00612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шорты одноразовые не стерильные, изготовлены из </w:t>
            </w:r>
            <w:proofErr w:type="spell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нетканного</w:t>
            </w:r>
            <w:proofErr w:type="spell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 плотностью 40г/</w:t>
            </w:r>
            <w:proofErr w:type="spellStart"/>
            <w:proofErr w:type="gramStart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для колоноскопии с ректальным отверстием. Размеры М -</w:t>
            </w:r>
            <w:r w:rsidR="00BC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штук, L -20 штук, XL-400штук.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52930" w14:textId="2D65AFD7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23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A15BE" w14:textId="3117958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0E4E1" w14:textId="70CF9B3A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950D2" w14:textId="6782FBB3" w:rsidR="006123AB" w:rsidRPr="006123AB" w:rsidRDefault="006123AB" w:rsidP="0061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47253" w:rsidRPr="00B35BD1" w14:paraId="38A679C6" w14:textId="77777777" w:rsidTr="006123AB">
        <w:trPr>
          <w:trHeight w:val="303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66B" w14:textId="76E01092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785B" w14:textId="120A8463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FA99" w14:textId="526F6082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9A9E" w14:textId="1C2807E8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193D7" w14:textId="46C4011C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5CED" w14:textId="686B60FE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69DF5" w14:textId="0974C77B" w:rsidR="00D47253" w:rsidRPr="00A05EDB" w:rsidRDefault="006123AB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24 397 900</w:t>
            </w:r>
          </w:p>
        </w:tc>
      </w:tr>
    </w:tbl>
    <w:p w14:paraId="659A7C7D" w14:textId="77777777" w:rsidR="00177F9F" w:rsidRPr="00B35BD1" w:rsidRDefault="00177F9F" w:rsidP="00177F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440AB035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82E75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523869D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82E75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5E905E03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882E75">
        <w:rPr>
          <w:rFonts w:ascii="Times New Roman" w:hAnsi="Times New Roman" w:cs="Times New Roman"/>
          <w:b/>
          <w:spacing w:val="2"/>
        </w:rPr>
        <w:t>7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дека</w:t>
      </w:r>
      <w:r w:rsidR="007138E2">
        <w:rPr>
          <w:rFonts w:ascii="Times New Roman" w:hAnsi="Times New Roman" w:cs="Times New Roman"/>
          <w:b/>
          <w:spacing w:val="2"/>
        </w:rPr>
        <w:t>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4B0596">
        <w:rPr>
          <w:rFonts w:ascii="Times New Roman" w:hAnsi="Times New Roman" w:cs="Times New Roman"/>
          <w:b/>
          <w:spacing w:val="2"/>
        </w:rPr>
        <w:t>1</w:t>
      </w:r>
      <w:r w:rsidR="00882E75">
        <w:rPr>
          <w:rFonts w:ascii="Times New Roman" w:hAnsi="Times New Roman" w:cs="Times New Roman"/>
          <w:b/>
          <w:spacing w:val="2"/>
        </w:rPr>
        <w:t>3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дека</w:t>
      </w:r>
      <w:r w:rsidR="007138E2">
        <w:rPr>
          <w:rFonts w:ascii="Times New Roman" w:hAnsi="Times New Roman" w:cs="Times New Roman"/>
          <w:b/>
          <w:spacing w:val="2"/>
        </w:rPr>
        <w:t>бря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D60627">
        <w:rPr>
          <w:rFonts w:ascii="Times New Roman" w:hAnsi="Times New Roman" w:cs="Times New Roman"/>
          <w:b/>
          <w:spacing w:val="2"/>
        </w:rPr>
        <w:t>2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882E75">
        <w:rPr>
          <w:rFonts w:ascii="Times New Roman" w:hAnsi="Times New Roman" w:cs="Times New Roman"/>
          <w:b/>
          <w:spacing w:val="2"/>
        </w:rPr>
        <w:t>13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882E75">
        <w:rPr>
          <w:rFonts w:ascii="Times New Roman" w:hAnsi="Times New Roman" w:cs="Times New Roman"/>
          <w:b/>
          <w:spacing w:val="2"/>
          <w:lang w:val="kk-KZ"/>
        </w:rPr>
        <w:t>дека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бря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B0596">
        <w:rPr>
          <w:rFonts w:ascii="Times New Roman" w:hAnsi="Times New Roman" w:cs="Times New Roman"/>
          <w:b/>
          <w:spacing w:val="2"/>
        </w:rPr>
        <w:t>1</w:t>
      </w:r>
      <w:r w:rsidR="00882E75">
        <w:rPr>
          <w:rFonts w:ascii="Times New Roman" w:hAnsi="Times New Roman" w:cs="Times New Roman"/>
          <w:b/>
          <w:spacing w:val="2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4B0596">
        <w:rPr>
          <w:rFonts w:ascii="Times New Roman" w:hAnsi="Times New Roman" w:cs="Times New Roman"/>
          <w:b/>
          <w:spacing w:val="2"/>
          <w:lang w:val="kk-KZ"/>
        </w:rPr>
        <w:t>дека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бря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</w:t>
      </w:r>
      <w:r w:rsidR="00202005" w:rsidRPr="00482DC8">
        <w:rPr>
          <w:rFonts w:ascii="Times New Roman" w:hAnsi="Times New Roman" w:cs="Times New Roman"/>
          <w:color w:val="000000"/>
        </w:rPr>
        <w:lastRenderedPageBreak/>
        <w:t xml:space="preserve">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1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482DC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00286B92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5CD6FD" w14:textId="0C026F40" w:rsidR="00D42C95" w:rsidRPr="00D80D49" w:rsidRDefault="00403C59" w:rsidP="00D8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</w:t>
      </w:r>
      <w:r w:rsidR="00D80D49">
        <w:rPr>
          <w:rFonts w:ascii="Times New Roman" w:hAnsi="Times New Roman" w:cs="Times New Roman"/>
          <w:b/>
        </w:rPr>
        <w:t>.</w:t>
      </w:r>
    </w:p>
    <w:p w14:paraId="2E39DD5A" w14:textId="7CED8BA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45EB7" w14:textId="6882577D" w:rsidR="00D42C95" w:rsidRPr="005632DB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01050E8" w14:textId="1FEBA24C" w:rsidR="00D42C95" w:rsidRDefault="00D42C95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DBDEFAA" w14:textId="6AA00D1E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24393A" w14:textId="1DB42D2E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35FFA6" w14:textId="462561E3" w:rsidR="004B0596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2916CF" w14:textId="7A5CD8C4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F4C1AD" w14:textId="06B6E809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F0611C" w14:textId="6DCA3FB8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FB59CD" w14:textId="7FB0CCEF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CB2E743" w14:textId="365EB840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CF50F4" w14:textId="2E619B73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955986" w14:textId="09986637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695FB43" w14:textId="32D5046B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756DC" w14:textId="676C1587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882D38E" w14:textId="0DFABD90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470205" w14:textId="2A256950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845E053" w14:textId="77777777" w:rsidR="00D21D7F" w:rsidRDefault="00D21D7F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D253076" w14:textId="77777777" w:rsidR="004B0596" w:rsidRPr="005632DB" w:rsidRDefault="004B0596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2"/>
          <w:p w14:paraId="175E321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3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3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2A75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2A7528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4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2A7528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15B7407F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5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6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" w:name="z235"/>
      <w:bookmarkEnd w:id="6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6"/>
      <w:bookmarkEnd w:id="7"/>
      <w:r w:rsidRPr="001E49BB">
        <w:rPr>
          <w:color w:val="000000"/>
          <w:sz w:val="20"/>
          <w:szCs w:val="20"/>
        </w:rPr>
        <w:lastRenderedPageBreak/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7"/>
      <w:bookmarkEnd w:id="8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8"/>
      <w:bookmarkEnd w:id="9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9"/>
      <w:bookmarkEnd w:id="10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40"/>
      <w:bookmarkEnd w:id="11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1"/>
      <w:bookmarkEnd w:id="12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4" w:name="z242"/>
      <w:bookmarkEnd w:id="13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5" w:name="z243"/>
      <w:bookmarkEnd w:id="14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4"/>
      <w:bookmarkEnd w:id="15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6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7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8" w:name="z248"/>
      <w:bookmarkEnd w:id="17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9" w:name="z249"/>
      <w:bookmarkEnd w:id="18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19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0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3"/>
      <w:bookmarkEnd w:id="20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4"/>
      <w:bookmarkEnd w:id="21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5"/>
      <w:bookmarkEnd w:id="22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6"/>
      <w:bookmarkEnd w:id="23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5" w:name="z257"/>
      <w:bookmarkEnd w:id="24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6" w:name="z258"/>
      <w:bookmarkEnd w:id="25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7" w:name="z259"/>
      <w:bookmarkEnd w:id="26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60"/>
      <w:bookmarkEnd w:id="27"/>
      <w:r w:rsidRPr="001E49BB">
        <w:rPr>
          <w:color w:val="000000"/>
          <w:sz w:val="20"/>
          <w:szCs w:val="20"/>
        </w:rPr>
        <w:lastRenderedPageBreak/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1"/>
      <w:bookmarkEnd w:id="28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2"/>
      <w:bookmarkEnd w:id="29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3"/>
      <w:bookmarkEnd w:id="30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4"/>
      <w:bookmarkEnd w:id="31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5"/>
      <w:bookmarkEnd w:id="32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6"/>
      <w:bookmarkEnd w:id="33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7"/>
      <w:bookmarkEnd w:id="34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6" w:name="z268"/>
      <w:bookmarkEnd w:id="35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7" w:name="z269"/>
      <w:bookmarkEnd w:id="36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8" w:name="z270"/>
      <w:bookmarkEnd w:id="37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1"/>
      <w:bookmarkEnd w:id="38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2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3"/>
      <w:bookmarkEnd w:id="40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4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5"/>
      <w:bookmarkEnd w:id="42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6"/>
      <w:bookmarkEnd w:id="43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7"/>
      <w:bookmarkEnd w:id="44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8"/>
      <w:bookmarkEnd w:id="45"/>
      <w:r w:rsidRPr="001E49BB">
        <w:rPr>
          <w:color w:val="000000"/>
          <w:sz w:val="20"/>
          <w:szCs w:val="20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9"/>
      <w:bookmarkEnd w:id="46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80"/>
      <w:bookmarkEnd w:id="47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1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2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3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4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5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6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5" w:name="z287"/>
      <w:bookmarkEnd w:id="54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6" w:name="z288"/>
      <w:bookmarkEnd w:id="55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9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90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1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2"/>
      <w:bookmarkEnd w:id="59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3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4"/>
      <w:bookmarkEnd w:id="61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5"/>
      <w:bookmarkEnd w:id="62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6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7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8"/>
      <w:bookmarkEnd w:id="65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9"/>
      <w:bookmarkEnd w:id="66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300"/>
      <w:bookmarkEnd w:id="6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1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0" w:name="z302"/>
      <w:bookmarkEnd w:id="69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1" w:name="z303"/>
      <w:bookmarkEnd w:id="7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4"/>
      <w:bookmarkEnd w:id="71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5"/>
      <w:bookmarkEnd w:id="72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6"/>
      <w:bookmarkEnd w:id="73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7"/>
      <w:bookmarkEnd w:id="74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8"/>
      <w:bookmarkEnd w:id="75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9"/>
      <w:bookmarkEnd w:id="76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8" w:name="z310"/>
      <w:bookmarkEnd w:id="77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9" w:name="z311"/>
      <w:bookmarkEnd w:id="78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 xml:space="preserve"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</w:t>
      </w:r>
      <w:r w:rsidRPr="001E49BB">
        <w:rPr>
          <w:color w:val="000000"/>
          <w:sz w:val="20"/>
          <w:szCs w:val="20"/>
        </w:rPr>
        <w:lastRenderedPageBreak/>
        <w:t>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2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3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4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5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6"/>
      <w:bookmarkEnd w:id="83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7"/>
      <w:bookmarkEnd w:id="84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6" w:name="z318"/>
      <w:bookmarkEnd w:id="8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7" w:name="z319"/>
      <w:bookmarkEnd w:id="86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2A752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470E1EBE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2A752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B2AA27" w14:textId="523667A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7ECEC14E" w:rsidR="00DC0C02" w:rsidRDefault="00C1613F" w:rsidP="00D21D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8" w:name="_GoBack"/>
            <w:bookmarkEnd w:id="88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331F"/>
    <w:rsid w:val="00084464"/>
    <w:rsid w:val="00086BAE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57F0"/>
    <w:rsid w:val="00260D15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A7528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36EF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23AB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2BB9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2E75"/>
    <w:rsid w:val="00884F64"/>
    <w:rsid w:val="00895CA4"/>
    <w:rsid w:val="00896D1F"/>
    <w:rsid w:val="008A659C"/>
    <w:rsid w:val="008B0403"/>
    <w:rsid w:val="008B2A9F"/>
    <w:rsid w:val="008B4FA6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46AED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61C5"/>
    <w:rsid w:val="00A2622F"/>
    <w:rsid w:val="00A269DC"/>
    <w:rsid w:val="00A306F0"/>
    <w:rsid w:val="00A317B6"/>
    <w:rsid w:val="00A40D1F"/>
    <w:rsid w:val="00A50E5F"/>
    <w:rsid w:val="00A53EB6"/>
    <w:rsid w:val="00A55838"/>
    <w:rsid w:val="00A55DA8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A91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1D7F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578F"/>
    <w:rsid w:val="00D9593B"/>
    <w:rsid w:val="00D9674E"/>
    <w:rsid w:val="00D97D19"/>
    <w:rsid w:val="00DA1179"/>
    <w:rsid w:val="00DA190E"/>
    <w:rsid w:val="00DA5B33"/>
    <w:rsid w:val="00DA6A29"/>
    <w:rsid w:val="00DA6C80"/>
    <w:rsid w:val="00DA7C83"/>
    <w:rsid w:val="00DB01CD"/>
    <w:rsid w:val="00DB348D"/>
    <w:rsid w:val="00DB4F89"/>
    <w:rsid w:val="00DC0C02"/>
    <w:rsid w:val="00DC17DE"/>
    <w:rsid w:val="00DC26A8"/>
    <w:rsid w:val="00DC2F03"/>
    <w:rsid w:val="00DC67CD"/>
    <w:rsid w:val="00DD0B1D"/>
    <w:rsid w:val="00DD12A2"/>
    <w:rsid w:val="00DD4293"/>
    <w:rsid w:val="00DD52E8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31E2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01B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ABDBC-1AB6-4D7C-AE79-E751BD0F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5587</TotalTime>
  <Pages>19</Pages>
  <Words>8279</Words>
  <Characters>47192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676</cp:revision>
  <cp:lastPrinted>2022-10-17T09:55:00Z</cp:lastPrinted>
  <dcterms:created xsi:type="dcterms:W3CDTF">2017-02-20T06:30:00Z</dcterms:created>
  <dcterms:modified xsi:type="dcterms:W3CDTF">2022-12-06T10:19:00Z</dcterms:modified>
</cp:coreProperties>
</file>