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0D1A7C7A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8B53B5">
        <w:rPr>
          <w:sz w:val="28"/>
          <w:szCs w:val="28"/>
        </w:rPr>
        <w:t>1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656A3D9D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B53B5">
        <w:rPr>
          <w:sz w:val="24"/>
          <w:szCs w:val="24"/>
        </w:rPr>
        <w:t>17</w:t>
      </w:r>
      <w:r w:rsidR="008D33CA">
        <w:rPr>
          <w:sz w:val="24"/>
          <w:szCs w:val="24"/>
        </w:rPr>
        <w:t xml:space="preserve"> </w:t>
      </w:r>
      <w:r w:rsidR="00A45504">
        <w:rPr>
          <w:sz w:val="24"/>
          <w:szCs w:val="24"/>
        </w:rPr>
        <w:t>января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C5107" w:rsidRPr="005D0C8B" w14:paraId="01ADB67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0584CD0E" w:rsidR="001C5107" w:rsidRPr="0072080E" w:rsidRDefault="00C970B5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="001C5107" w:rsidRPr="007208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Алклометазон</w:t>
              </w:r>
              <w:proofErr w:type="spellEnd"/>
              <w:r w:rsidR="001C5107" w:rsidRPr="007208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6DF97C68" w:rsidR="001C5107" w:rsidRPr="0072080E" w:rsidRDefault="001C5107" w:rsidP="001C5107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крем 0,05%20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877" w14:textId="2D5215B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EC" w14:textId="5D45EBD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601AE4C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528475E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55716,30</w:t>
            </w:r>
          </w:p>
        </w:tc>
      </w:tr>
      <w:tr w:rsidR="001C5107" w:rsidRPr="005D0C8B" w14:paraId="0FAE01CD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AE9A" w14:textId="52BB4E41" w:rsidR="001C5107" w:rsidRPr="0072080E" w:rsidRDefault="00C970B5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C5107" w:rsidRPr="007208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Ацетилцистеин </w:t>
              </w:r>
            </w:hyperlink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1983" w14:textId="1726A41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600мг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2C9" w14:textId="75A4442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DDF3" w14:textId="368B863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08BC053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592BA71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33439,50</w:t>
            </w:r>
          </w:p>
        </w:tc>
      </w:tr>
      <w:tr w:rsidR="001C5107" w:rsidRPr="005D0C8B" w14:paraId="502BBFC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CB20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4032" w14:textId="76B5E7F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Аскорбиновая кислота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3B980" w14:textId="40718EAC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драже 50мг №200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660" w14:textId="0EC7FEB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4787" w14:textId="3F1C963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FDA2F" w14:textId="1B20A1A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3C9A" w14:textId="45519E9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8642,40</w:t>
            </w:r>
          </w:p>
        </w:tc>
      </w:tr>
      <w:tr w:rsidR="001C5107" w:rsidRPr="005D0C8B" w14:paraId="493503A9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1B59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E7F2" w14:textId="3B917641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Атропина сульфат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0F4C0" w14:textId="5F7B3C8A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10мг/мл №5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2851" w14:textId="2313F44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89B" w14:textId="6B592E3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893B" w14:textId="1201EFD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7BBD" w14:textId="2F1C415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8181,30</w:t>
            </w:r>
          </w:p>
        </w:tc>
      </w:tr>
      <w:tr w:rsidR="001C5107" w:rsidRPr="005D0C8B" w14:paraId="352E77DB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49EE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F9A3" w14:textId="56726F02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Азелаиновая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кислота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DBAC" w14:textId="15CE7518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крем 20%30гр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4042" w14:textId="246BDB3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F799" w14:textId="09FAA07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7755" w14:textId="5929A1E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6 248,42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CE0D" w14:textId="1584C96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187452,60</w:t>
            </w:r>
          </w:p>
        </w:tc>
      </w:tr>
      <w:tr w:rsidR="001C5107" w:rsidRPr="005D0C8B" w14:paraId="6EC0D839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C9B3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EBA43" w14:textId="7F197FE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Ампициллин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C54D6" w14:textId="2C6ECFF8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инъекций 1гр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6DEF" w14:textId="2C13D87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3BA6" w14:textId="082E78D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1044" w14:textId="5DEDF59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ED0C" w14:textId="75B4982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184170,00</w:t>
            </w:r>
          </w:p>
        </w:tc>
      </w:tr>
      <w:tr w:rsidR="001C5107" w:rsidRPr="005D0C8B" w14:paraId="6DEB1EE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EE00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7A67" w14:textId="104DD65C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7365" w14:textId="322D240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974" w14:textId="382B176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1FDD" w14:textId="3E61775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D2805" w14:textId="04C0DFC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0D47" w14:textId="3E7D28B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7232,00</w:t>
            </w:r>
          </w:p>
        </w:tc>
      </w:tr>
      <w:tr w:rsidR="001C5107" w:rsidRPr="005D0C8B" w14:paraId="39DB053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7F84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4ECCE" w14:textId="15253581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C6F" w14:textId="23BE38A8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лиофизилат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15 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0C0" w14:textId="3D33A7C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61BB" w14:textId="188EBE0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34AD" w14:textId="7DF8813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A080" w14:textId="3420B0D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425000,00</w:t>
            </w:r>
          </w:p>
        </w:tc>
      </w:tr>
      <w:tr w:rsidR="001C5107" w:rsidRPr="005D0C8B" w14:paraId="2E8F2C5D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3FEF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87576" w14:textId="4F82648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Бетаметазон+салициловая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0E33" w14:textId="36E3E51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мазь 30гр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EAB" w14:textId="2C23915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9E94" w14:textId="4D12A15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600B" w14:textId="57EFEC3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5C64" w14:textId="3FF0966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1450850,00</w:t>
            </w:r>
          </w:p>
        </w:tc>
      </w:tr>
      <w:tr w:rsidR="001C5107" w:rsidRPr="005D0C8B" w14:paraId="1221F0C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C2ED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3E175" w14:textId="5857D155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Бринзоламид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Тимолола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36F" w14:textId="5FD8132B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суспензия 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D06E" w14:textId="4A48A6F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D41E" w14:textId="5DA7A26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59AA" w14:textId="42680E0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B5A3" w14:textId="045E95D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558249,00</w:t>
            </w:r>
          </w:p>
        </w:tc>
      </w:tr>
      <w:tr w:rsidR="001C5107" w:rsidRPr="005D0C8B" w14:paraId="72407A1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DAFB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691E0" w14:textId="3C06837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Брилиантовая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зелень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6E4D1" w14:textId="7F644FD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раствор 1%20,0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E05E" w14:textId="181DE24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6A10" w14:textId="3071B61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193" w14:textId="02A85A0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1577" w14:textId="6A16D9D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42861,00</w:t>
            </w:r>
          </w:p>
        </w:tc>
      </w:tr>
      <w:tr w:rsidR="001C5107" w:rsidRPr="005D0C8B" w14:paraId="6EF6A47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2BA9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CC1BE" w14:textId="60EF5BE7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Бетаксолол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7D93" w14:textId="465777D8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0,5%5,0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B4A" w14:textId="6F52972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3C63" w14:textId="42D948F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6806" w14:textId="251A0D3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1 584,95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81A6" w14:textId="47DF14B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15849,50</w:t>
            </w:r>
          </w:p>
        </w:tc>
      </w:tr>
      <w:tr w:rsidR="001C5107" w:rsidRPr="005D0C8B" w14:paraId="3E1BD2DC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E119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82A77" w14:textId="59A592A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Бринзоламид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DB6A" w14:textId="249D6ED0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1%5,0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B5695" w14:textId="2DB3A3F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5939B" w14:textId="1B8E09E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C7659" w14:textId="38346A1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3 384,59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3AC1" w14:textId="3F98208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67691,80</w:t>
            </w:r>
          </w:p>
        </w:tc>
      </w:tr>
      <w:tr w:rsidR="001C5107" w:rsidRPr="005D0C8B" w14:paraId="22EA6AA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061B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81EE3" w14:textId="3FF89D96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Бромфенак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C594" w14:textId="46B0F721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0,09%1,7мл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93D0" w14:textId="1E56168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4C42" w14:textId="1F46E9C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492" w14:textId="0363DA6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41A7" w14:textId="464DD2F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79092,80</w:t>
            </w:r>
          </w:p>
        </w:tc>
      </w:tr>
      <w:tr w:rsidR="001C5107" w:rsidRPr="005D0C8B" w14:paraId="609A2A90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567E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7D57E" w14:textId="3FC259CF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4C0C" w14:textId="0E059777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1мг/мл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D9" w14:textId="645E20F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C1EF" w14:textId="6E558F2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A05" w14:textId="1A2AF92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D6BF" w14:textId="6EB23BC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1C5107" w:rsidRPr="005D0C8B" w14:paraId="7176BC1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B39A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D3E5" w14:textId="1DFC3DA2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AD77" w14:textId="079067FB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Табл.,покрытые</w:t>
            </w:r>
            <w:proofErr w:type="spellEnd"/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пленочной оболочкой 160мг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DB1" w14:textId="3C61448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8284" w14:textId="6B90D9D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B2CF" w14:textId="6E49484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7329" w14:textId="57747A7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25804,00</w:t>
            </w:r>
          </w:p>
        </w:tc>
      </w:tr>
      <w:tr w:rsidR="001C5107" w:rsidRPr="005D0C8B" w14:paraId="7F9AF6CC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BFA6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A3DAA" w14:textId="70D524C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Сулодексид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6E0F" w14:textId="49F1C10E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600ЛЕ/2мл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2458" w14:textId="320DFD3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737" w14:textId="63CE073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6B40" w14:textId="657344C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6106" w14:textId="3E94A25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42621,60</w:t>
            </w:r>
          </w:p>
        </w:tc>
      </w:tr>
      <w:tr w:rsidR="001C5107" w:rsidRPr="005D0C8B" w14:paraId="63199E68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E538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91F4" w14:textId="3BEFBCB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Габапентин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F3D1" w14:textId="5A880AC1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капсула 300мг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58EB" w14:textId="32D09D6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77F" w14:textId="38540CB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87D" w14:textId="0F4AD6C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8379" w14:textId="3D868D3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820890,00</w:t>
            </w:r>
          </w:p>
        </w:tc>
      </w:tr>
      <w:tr w:rsidR="001C5107" w:rsidRPr="005D0C8B" w14:paraId="6846B33B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F9E2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47D7" w14:textId="772829D2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Валсартан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Сакубитрил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DCCC" w14:textId="301171B2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Юперио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таблетка 200мг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1D8" w14:textId="15A86E8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DD19" w14:textId="44A921F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FBED" w14:textId="3A60840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5F87" w14:textId="25AF96A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119730,80</w:t>
            </w:r>
          </w:p>
        </w:tc>
      </w:tr>
      <w:tr w:rsidR="001C5107" w:rsidRPr="005D0C8B" w14:paraId="73814CB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BB91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A169" w14:textId="5AD95FF6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Гадодиамид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1D2E" w14:textId="28437C80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0,5ммоль/15мл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DA2" w14:textId="2CAB896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C1DD" w14:textId="432CF81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190" w14:textId="7FB5B44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68E7" w14:textId="0C0AC9A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6844981,00</w:t>
            </w:r>
          </w:p>
        </w:tc>
      </w:tr>
      <w:tr w:rsidR="001C5107" w:rsidRPr="005D0C8B" w14:paraId="3DB9E8D0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910C6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5655A" w14:textId="6043582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1D56" w14:textId="400C153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капли назальные 0,1%10,0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5ECE" w14:textId="794A3A8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AB3" w14:textId="39E36C7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7426" w14:textId="10AF1BD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CED1" w14:textId="0AEC867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239106,00</w:t>
            </w:r>
          </w:p>
        </w:tc>
      </w:tr>
      <w:tr w:rsidR="001C5107" w:rsidRPr="005D0C8B" w14:paraId="59D0560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558F1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1E62C" w14:textId="129AA133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10E8" w14:textId="2A979DBA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5D7" w14:textId="0A9F19A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F9C" w14:textId="20CC2D3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0F3" w14:textId="7A2279A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DF16" w14:textId="166E7FA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1544950,00</w:t>
            </w:r>
          </w:p>
        </w:tc>
      </w:tr>
      <w:tr w:rsidR="001C5107" w:rsidRPr="005D0C8B" w14:paraId="0265CC66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9738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08EC" w14:textId="5126D5C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2DCE" w14:textId="158AB6E0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380" w14:textId="7806436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7584" w14:textId="2948E0D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37FE" w14:textId="06099BE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12D2" w14:textId="174D11D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118796,00</w:t>
            </w:r>
          </w:p>
        </w:tc>
      </w:tr>
      <w:tr w:rsidR="001C5107" w:rsidRPr="005D0C8B" w14:paraId="3EBCC7E9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F0AD2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E2BF" w14:textId="59E317B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Декспантенол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9CAB" w14:textId="05965BB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аэрозоль  для</w:t>
            </w:r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наружного применения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1972" w14:textId="74999F4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15A3" w14:textId="7FB6862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548" w14:textId="596A237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D78B" w14:textId="5B76C1B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39043,60</w:t>
            </w:r>
          </w:p>
        </w:tc>
      </w:tr>
      <w:tr w:rsidR="001C5107" w:rsidRPr="005D0C8B" w14:paraId="57736B2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1C5E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3437A" w14:textId="7812AA9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Декспантенол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06694" w14:textId="744A032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5%10гр гель глазная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BA4" w14:textId="0385046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5E2E" w14:textId="6DE6E15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F1E" w14:textId="0E2196F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14A9" w14:textId="20DFDD5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33903,10</w:t>
            </w:r>
          </w:p>
        </w:tc>
      </w:tr>
      <w:tr w:rsidR="001C5107" w:rsidRPr="005D0C8B" w14:paraId="34892BF8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06F3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3FD6" w14:textId="7F264EA5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F159" w14:textId="5667D06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1мг/мл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6CC" w14:textId="65D17F3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66D" w14:textId="1203B9E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0706" w14:textId="113D9EF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72CF" w14:textId="4424C52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220884,00</w:t>
            </w:r>
          </w:p>
        </w:tc>
      </w:tr>
      <w:tr w:rsidR="001C5107" w:rsidRPr="005D0C8B" w14:paraId="7BAFDA2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887D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CA25" w14:textId="7BA4055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EA1F" w14:textId="67B3B6BE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инфузий 250мг/20мл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8AB1" w14:textId="4CB51E1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8390" w14:textId="3772F45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0E4B" w14:textId="1A2D35C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2B0F" w14:textId="1D064ED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2000000,00</w:t>
            </w:r>
          </w:p>
        </w:tc>
      </w:tr>
      <w:tr w:rsidR="001C5107" w:rsidRPr="005D0C8B" w14:paraId="7CF557E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1061A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D7B4" w14:textId="5E6E3FCF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Диклофенак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0070" w14:textId="74768C5C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суппозитории 100мг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FAD" w14:textId="5D12FA2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ABA1" w14:textId="46B8884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1C07" w14:textId="38D744A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F888" w14:textId="44C1BA4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16366,00</w:t>
            </w:r>
          </w:p>
        </w:tc>
      </w:tr>
      <w:tr w:rsidR="001C5107" w:rsidRPr="005D0C8B" w14:paraId="435E317E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A18A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1190" w14:textId="4692DA9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Жировая эмульсия 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807A" w14:textId="02F39080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Эмульсия для инфузий 20%100,0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A6E1" w14:textId="4C4EBDB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E86B" w14:textId="61823EA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332D" w14:textId="0F2006E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7 119,10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2B2D" w14:textId="2803A94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2135730,00</w:t>
            </w:r>
          </w:p>
        </w:tc>
      </w:tr>
      <w:tr w:rsidR="001C5107" w:rsidRPr="005D0C8B" w14:paraId="0EF7C0FB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87F1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E1DF" w14:textId="0AD9A0E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Интерферон альфа-2b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0022" w14:textId="54FB2157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Назоферон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спрей для носа 100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МЕ/мл -5мл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CD8" w14:textId="2B9A050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F8E" w14:textId="57DAE23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6032" w14:textId="4E6C49F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2E2F" w14:textId="393576A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108299,75</w:t>
            </w:r>
          </w:p>
        </w:tc>
      </w:tr>
      <w:tr w:rsidR="001C5107" w:rsidRPr="005D0C8B" w14:paraId="17400F8D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130E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F0ED" w14:textId="59FDF4D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Ибупрофен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A311" w14:textId="413AF235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9D63" w14:textId="6D4C9AF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37A" w14:textId="40DDC62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A78" w14:textId="2D55864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1 091,17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FDD7" w14:textId="3F1A6E7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545585,00</w:t>
            </w:r>
          </w:p>
        </w:tc>
      </w:tr>
      <w:tr w:rsidR="001C5107" w:rsidRPr="005D0C8B" w14:paraId="35CFAB52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6406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FED1" w14:textId="7EA7984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в комбинации с противомикробными препаратами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A5A15" w14:textId="0D6A9F71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ушные капли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E6BD" w14:textId="1FC7478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E77" w14:textId="5E4585F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542B" w14:textId="5A6EA44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E6C3" w14:textId="6A7EC5B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64019,40</w:t>
            </w:r>
          </w:p>
        </w:tc>
      </w:tr>
      <w:tr w:rsidR="001C5107" w:rsidRPr="005D0C8B" w14:paraId="330FD45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3284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E7F7" w14:textId="7E8AAFE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Кальций глюконат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CBDF" w14:textId="4E7370C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инъекций100мг/мл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D506" w14:textId="0FA5967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4B3" w14:textId="64EFE10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F61" w14:textId="1E99D9F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E722" w14:textId="63D5365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251860,00</w:t>
            </w:r>
          </w:p>
        </w:tc>
      </w:tr>
      <w:tr w:rsidR="001C5107" w:rsidRPr="005D0C8B" w14:paraId="6C446D7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41BD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963F" w14:textId="298AA9A7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Комплекс аминокислот для парентерального питания 10%100,0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0DDA2" w14:textId="3DB9EA51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инфузий 10%100,0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9F" w14:textId="3F79C04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C9F" w14:textId="0FB7BEB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2927" w14:textId="1421229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7 079,08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8B65" w14:textId="77E10FD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4247448,00</w:t>
            </w:r>
          </w:p>
        </w:tc>
      </w:tr>
      <w:tr w:rsidR="001C5107" w:rsidRPr="005D0C8B" w14:paraId="498FF346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7A65" w14:textId="777777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2F5C" w14:textId="479B2DD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BEE1" w14:textId="205EFA79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200мкг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8B25" w14:textId="1AA8F3B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AFE8" w14:textId="602567F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A3B" w14:textId="3EFC492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CFD5" w14:textId="453D9E7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17794,80</w:t>
            </w:r>
          </w:p>
        </w:tc>
      </w:tr>
      <w:tr w:rsidR="001C5107" w:rsidRPr="005D0C8B" w14:paraId="4300D35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C92E" w14:textId="29BC3E18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DC8DE" w14:textId="273A06C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FE0B6" w14:textId="76BBADA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крем 2%30гр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8DE5" w14:textId="438EBEA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539F" w14:textId="6318116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4E6" w14:textId="41FF90C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691A" w14:textId="4DCAC0F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2762240,00</w:t>
            </w:r>
          </w:p>
        </w:tc>
      </w:tr>
      <w:tr w:rsidR="001C5107" w:rsidRPr="005D0C8B" w14:paraId="2E2517BA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BB32" w14:textId="60F67EFE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254F1" w14:textId="7822647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6AFB" w14:textId="1901B44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шампунь 2%50,0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952" w14:textId="6A6E542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C55" w14:textId="51953D7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4D" w14:textId="7382068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C959" w14:textId="1AA6DAE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26894,40</w:t>
            </w:r>
          </w:p>
        </w:tc>
      </w:tr>
      <w:tr w:rsidR="001C5107" w:rsidRPr="005D0C8B" w14:paraId="2E24650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F871" w14:textId="2A7EF2D6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ED487" w14:textId="5A76271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(концентрат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комплекса)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11D6" w14:textId="716D4B0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Октаплекс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для приготовления раствора для внутривенного введения комплекте с растворителем (вода для инъекции) и набором для введения, 500 МЕ, 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33EE" w14:textId="6D35C85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0E9A" w14:textId="6A43D9E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D4F5" w14:textId="78FBED1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109 213,63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7885" w14:textId="05030B7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2730340,75</w:t>
            </w:r>
          </w:p>
        </w:tc>
      </w:tr>
      <w:tr w:rsidR="001C5107" w:rsidRPr="005D0C8B" w14:paraId="19396D7D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2DD0" w14:textId="48E90F98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63617" w14:textId="01C5833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ECAA" w14:textId="08E41979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200мг/мл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2D92" w14:textId="7FD8988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1FE99" w14:textId="0709783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11523" w14:textId="2BDD2BF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4CC96" w14:textId="5176EE0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688990,00</w:t>
            </w:r>
          </w:p>
        </w:tc>
      </w:tr>
      <w:tr w:rsidR="001C5107" w:rsidRPr="005D0C8B" w14:paraId="6CFE7E64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1993" w14:textId="14CFAA0D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DDC18" w14:textId="11482FE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14755" w14:textId="31B1E6D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глазные капли 5мг/мл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A4DB6" w14:textId="3154EC8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240C" w14:textId="71DD9E6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AD8A" w14:textId="385A3F2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3E0D" w14:textId="142A075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1097016,00</w:t>
            </w:r>
          </w:p>
        </w:tc>
      </w:tr>
      <w:tr w:rsidR="001C5107" w:rsidRPr="005D0C8B" w14:paraId="2779EA3E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5506" w14:textId="6598F8E8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B758" w14:textId="19634123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A805" w14:textId="10F17C35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Таблетки 250мг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7CE29" w14:textId="7E2EC5D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EF6" w14:textId="569DEE0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4B5" w14:textId="4411F82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F2636" w14:textId="51B9FC0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456930,00</w:t>
            </w:r>
          </w:p>
        </w:tc>
      </w:tr>
      <w:tr w:rsidR="001C5107" w:rsidRPr="005D0C8B" w14:paraId="637E6E2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CD6A" w14:textId="4D4EA388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027DD" w14:textId="0FC6A26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6174A" w14:textId="1B36B647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табл.,покрытые</w:t>
            </w:r>
            <w:proofErr w:type="spellEnd"/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пленочной оболочкой 2,5мг/850мг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828BB" w14:textId="13DC969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645" w14:textId="4456F8A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6B30" w14:textId="0BAED62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EFAD" w14:textId="48F9E81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21516,60</w:t>
            </w:r>
          </w:p>
        </w:tc>
      </w:tr>
      <w:tr w:rsidR="001C5107" w:rsidRPr="005D0C8B" w14:paraId="48AE9F56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CB39" w14:textId="42BAAFAA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FC95" w14:textId="524FFB5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хлорид,калий</w:t>
            </w:r>
            <w:proofErr w:type="spellEnd"/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хлорид,натрий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гидрокарбонат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4C6C8" w14:textId="1CFB7E0A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инфузий 400мл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ABACC" w14:textId="2C5193F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23A3" w14:textId="0AFF413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03E7" w14:textId="7807F26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B66AB" w14:textId="7C9A07B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785960,00</w:t>
            </w:r>
          </w:p>
        </w:tc>
      </w:tr>
      <w:tr w:rsidR="001C5107" w:rsidRPr="005D0C8B" w14:paraId="52A6949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18C7" w14:textId="6EAA29F6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2D36" w14:textId="616B0B5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Норэпинефрин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3CD2" w14:textId="771EFA9B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1мг/мл 4мл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2AB7" w14:textId="3852E74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9401" w14:textId="52BC340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EF4A" w14:textId="3258501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CA659" w14:textId="3244BB7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5422260,00</w:t>
            </w:r>
          </w:p>
        </w:tc>
      </w:tr>
      <w:tr w:rsidR="001C5107" w:rsidRPr="005D0C8B" w14:paraId="13E7BDA9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476B" w14:textId="7CFBB7A5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9D86" w14:textId="629F8377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0CBA" w14:textId="7A80F641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Изотонический раствор 0,9%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0F663" w14:textId="1A1B757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245C" w14:textId="3F91A44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A294" w14:textId="3666669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FAB5" w14:textId="006E09E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2931200,00</w:t>
            </w:r>
          </w:p>
        </w:tc>
      </w:tr>
      <w:tr w:rsidR="001C5107" w:rsidRPr="005D0C8B" w14:paraId="5E04508B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27FE" w14:textId="133D317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28BF" w14:textId="1C834B2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9E954" w14:textId="407415D2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500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8E900" w14:textId="200AA54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табл.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24A" w14:textId="350CA17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A10E" w14:textId="03C9B6A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4658" w14:textId="41AAA36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6220,00</w:t>
            </w:r>
          </w:p>
        </w:tc>
      </w:tr>
      <w:tr w:rsidR="001C5107" w:rsidRPr="005D0C8B" w14:paraId="45AA07FB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3435" w14:textId="5307052D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99DEF" w14:textId="73E7696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BB02" w14:textId="4075FD05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суппозитории 500000ЕД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F05C1" w14:textId="439727F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A8A2" w14:textId="30BB59A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1DE" w14:textId="052F20D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1B499" w14:textId="3F94F0C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18552,00</w:t>
            </w:r>
          </w:p>
        </w:tc>
      </w:tr>
      <w:tr w:rsidR="001C5107" w:rsidRPr="005D0C8B" w14:paraId="27F09212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A5F7" w14:textId="7734E2BB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D5C2" w14:textId="0FC3FB93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Никотиновая кислота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7C4C" w14:textId="09787998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1%1,0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D3D29" w14:textId="5C7B10A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27A9" w14:textId="6BAF566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919" w14:textId="70F7492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72198" w14:textId="7E0FA6C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97440,00</w:t>
            </w:r>
          </w:p>
        </w:tc>
      </w:tr>
      <w:tr w:rsidR="001C5107" w:rsidRPr="005D0C8B" w14:paraId="7F42659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C0AF" w14:textId="50E95449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C001" w14:textId="6C96F7D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DCAD" w14:textId="6DDD6859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Таблетки 10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9AB6B" w14:textId="1C6848B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0828" w14:textId="6F677F2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A9AA" w14:textId="0A6F295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D55F" w14:textId="23A41C0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8920,00</w:t>
            </w:r>
          </w:p>
        </w:tc>
      </w:tr>
      <w:tr w:rsidR="001C5107" w:rsidRPr="005D0C8B" w14:paraId="45378420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B74C" w14:textId="73A0F22F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BCA6" w14:textId="76ADD65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Парацетамол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DE36" w14:textId="61F91E02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инфузий 1%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700B" w14:textId="7AC5E18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3934" w14:textId="5C101BF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C4640" w14:textId="42E7AA5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1 209,77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CE3C" w14:textId="2E7EBC0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120977,00</w:t>
            </w:r>
          </w:p>
        </w:tc>
      </w:tr>
      <w:tr w:rsidR="001C5107" w:rsidRPr="005D0C8B" w14:paraId="133348B3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9F7D" w14:textId="111883DD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5269" w14:textId="06053B3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B03" w14:textId="2D012059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Глазные </w:t>
            </w:r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капли  10</w:t>
            </w:r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мг/мл-10мл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D3A8" w14:textId="65FE6E7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A9C09" w14:textId="768A2F8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0F476" w14:textId="2D5C253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334,54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41FC" w14:textId="4B2D2B1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16727,00</w:t>
            </w:r>
          </w:p>
        </w:tc>
      </w:tr>
      <w:tr w:rsidR="001C5107" w:rsidRPr="005D0C8B" w14:paraId="59859B3E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C7DE" w14:textId="08079252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6644" w14:textId="11BCDAC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Проксиметакаин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17A6" w14:textId="1F42C635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0,5%15мл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DFB7" w14:textId="2D021BF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7A54" w14:textId="19F2C4E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A2E2" w14:textId="3DFFCC9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2 371,51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A50C" w14:textId="1A6E7FA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189720,80</w:t>
            </w:r>
          </w:p>
        </w:tc>
      </w:tr>
      <w:tr w:rsidR="001C5107" w:rsidRPr="005D0C8B" w14:paraId="6CE0C04D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FA8E" w14:textId="4EEEEBED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6F466" w14:textId="152220E5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Перметрин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CC96" w14:textId="5FBAAADB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шампунь0,5% 60мл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8709" w14:textId="3394F41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3784" w14:textId="74B22A3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953A" w14:textId="401CCD9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6 551,78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967C" w14:textId="3356F49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262071,20</w:t>
            </w:r>
          </w:p>
        </w:tc>
      </w:tr>
      <w:tr w:rsidR="001C5107" w:rsidRPr="005D0C8B" w14:paraId="627D1971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3995" w14:textId="5B051C1A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D6D4" w14:textId="5954BCC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Протамин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6AB8" w14:textId="173977F7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10000МЕ/</w:t>
            </w:r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мл  5</w:t>
            </w:r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D74F" w14:textId="46F276F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A999" w14:textId="19ABC7E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1964" w14:textId="5683754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2 155,92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9DDC1" w14:textId="247A1AD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1077960,00</w:t>
            </w:r>
          </w:p>
        </w:tc>
      </w:tr>
      <w:tr w:rsidR="001C5107" w:rsidRPr="005D0C8B" w14:paraId="1B34C1A6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CBB3" w14:textId="0D3BE0F0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7C59" w14:textId="22DB9C27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Пиперациллин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8DE" w14:textId="12BC017F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для внутривенных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4,5гр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2447" w14:textId="3FAC9D8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7349" w14:textId="7DC4213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99E8" w14:textId="2CDF8EB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5 180,83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F95A" w14:textId="44CA4F7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5698913,00</w:t>
            </w:r>
          </w:p>
        </w:tc>
      </w:tr>
      <w:tr w:rsidR="001C5107" w:rsidRPr="005D0C8B" w14:paraId="670441B5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69F0" w14:textId="6C257C6E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3F761" w14:textId="5E0246E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F9E4" w14:textId="5FAA3AA9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97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0B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05568" w14:textId="5B83E03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2563" w14:textId="470DF95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200F" w14:textId="4EEDD88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51,46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91CD" w14:textId="1034E9E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668980,00</w:t>
            </w:r>
          </w:p>
        </w:tc>
      </w:tr>
      <w:tr w:rsidR="001C5107" w:rsidRPr="005D0C8B" w14:paraId="18EB7E65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25822" w14:textId="6C00E979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16EC" w14:textId="1867EC3C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Стерофундин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3E44" w14:textId="6BDE3B2E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инфузий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8B25" w14:textId="457A786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FF7B" w14:textId="23DA165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E108" w14:textId="6159B9E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580,73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D775" w14:textId="5D69E06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116146,00</w:t>
            </w:r>
          </w:p>
        </w:tc>
      </w:tr>
      <w:tr w:rsidR="001C5107" w:rsidRPr="005D0C8B" w14:paraId="52947E3A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C2F2" w14:textId="6116A513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8279" w14:textId="65DE701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Тиамин хлорид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83D83" w14:textId="7A8C3D3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0B5">
              <w:rPr>
                <w:rFonts w:ascii="Times New Roman" w:hAnsi="Times New Roman" w:cs="Times New Roman"/>
                <w:sz w:val="20"/>
                <w:szCs w:val="20"/>
              </w:rPr>
              <w:t>50 мг/мл 1 мл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B777" w14:textId="3B51E05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00C9" w14:textId="4C0EC62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5ED79" w14:textId="06D653F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F540" w14:textId="5C06033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72060,00</w:t>
            </w:r>
          </w:p>
        </w:tc>
      </w:tr>
      <w:tr w:rsidR="001C5107" w:rsidRPr="005D0C8B" w14:paraId="71336B2A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9298" w14:textId="555C999A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AA4F" w14:textId="2180233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Токоферол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716A" w14:textId="2B83FE3E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капсула 200мг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CBBF" w14:textId="64424D1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28DD" w14:textId="0E84EB1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9541" w14:textId="5FBAE6D5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B8D4" w14:textId="60654E8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37200,00</w:t>
            </w:r>
          </w:p>
        </w:tc>
      </w:tr>
      <w:tr w:rsidR="001C5107" w:rsidRPr="005D0C8B" w14:paraId="28039496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F01D" w14:textId="5A02FD2B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7A21" w14:textId="4BD2BEA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Хлоргексидин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D058D" w14:textId="01BD6CF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суппозитории 16мг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C996" w14:textId="10CBB26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77C0" w14:textId="0991656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2EF0C" w14:textId="2CF4B02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384,08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96139" w14:textId="56384CA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84497,60</w:t>
            </w:r>
          </w:p>
        </w:tc>
      </w:tr>
      <w:tr w:rsidR="001C5107" w:rsidRPr="005D0C8B" w14:paraId="08496DD9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277C7" w14:textId="736718E6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0063" w14:textId="6EE9F5A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8970" w14:textId="5B0ADEEE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0,5%10,0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1E85BA" w14:textId="28FA9BC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EF24" w14:textId="39F06B5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DEE4" w14:textId="036087F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239,58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AE1E" w14:textId="6EFFC98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95832,00</w:t>
            </w:r>
          </w:p>
        </w:tc>
      </w:tr>
      <w:tr w:rsidR="001C5107" w:rsidRPr="005D0C8B" w14:paraId="7EB1C0F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B966" w14:textId="23D3A43B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6168" w14:textId="2082A6DF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Тетрациклиновая мазь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CD71" w14:textId="4B173312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3%15гр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928CB" w14:textId="487DCDE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EA4D2" w14:textId="73659FF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0B85" w14:textId="306CB1C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154,02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B147" w14:textId="1BBAC89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55447,20</w:t>
            </w:r>
          </w:p>
        </w:tc>
      </w:tr>
      <w:tr w:rsidR="001C5107" w:rsidRPr="005D0C8B" w14:paraId="36F42083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312D" w14:textId="64EC1DB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2609F" w14:textId="4F48755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Тетрациклиновая мазь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5BFF" w14:textId="540F058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глазная мазь 1</w:t>
            </w:r>
            <w:proofErr w:type="gram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%  3</w:t>
            </w:r>
            <w:proofErr w:type="gram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гр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343C" w14:textId="3BD865E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992C" w14:textId="0F84DBB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E961" w14:textId="1F6DA1D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456,54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F126" w14:textId="4978FFF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164354,40</w:t>
            </w:r>
          </w:p>
        </w:tc>
      </w:tr>
      <w:tr w:rsidR="001C5107" w:rsidRPr="005D0C8B" w14:paraId="0BA504A9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100B3" w14:textId="284B8789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AC1F" w14:textId="29C9F9D3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в комбинации с другими препаратами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EA9E" w14:textId="5F5379D5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Капли глазные 20 мг/мл + 5 мг/мл 10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8291" w14:textId="323880A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1E658" w14:textId="31E4214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8681" w14:textId="3BCCB7A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sz w:val="20"/>
                <w:szCs w:val="20"/>
              </w:rPr>
              <w:t>11 865,04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AAFC0" w14:textId="32A98D9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237300,80</w:t>
            </w:r>
          </w:p>
        </w:tc>
      </w:tr>
      <w:tr w:rsidR="001C5107" w:rsidRPr="005D0C8B" w14:paraId="788D3A78" w14:textId="77777777" w:rsidTr="0072080E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994" w14:textId="07A5A53D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C7C5" w14:textId="4481D31E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Толперизон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7A4B6" w14:textId="2075DB43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150мг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6B348" w14:textId="35C0474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B0D7" w14:textId="0FF1C84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0038" w14:textId="34F76A9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558F" w14:textId="1CF97C9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26416,00</w:t>
            </w:r>
          </w:p>
        </w:tc>
      </w:tr>
      <w:tr w:rsidR="001C5107" w:rsidRPr="005D0C8B" w14:paraId="5819C6F5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D6A89" w14:textId="16E3A6A2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E5C9" w14:textId="438CF9F8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кислота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80599" w14:textId="64696EFB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500мг/ 5мл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6D30" w14:textId="36CA994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68A386" w14:textId="5C630F4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4AC2" w14:textId="27DC29B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D0B6" w14:textId="748CD0A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3374520,00</w:t>
            </w:r>
          </w:p>
        </w:tc>
      </w:tr>
      <w:tr w:rsidR="001C5107" w:rsidRPr="005D0C8B" w14:paraId="37E9852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2B738" w14:textId="57A21F30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B949D" w14:textId="125E714B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50DB" w14:textId="3BD384A0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Глазные капли 1%-10мл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CB48" w14:textId="2CAF92E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E6E4F" w14:textId="065438A8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AEED" w14:textId="0755257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5BF51" w14:textId="4730076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28800,00</w:t>
            </w:r>
          </w:p>
        </w:tc>
      </w:tr>
      <w:tr w:rsidR="001C5107" w:rsidRPr="005D0C8B" w14:paraId="28ADF874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E2D4" w14:textId="0DC3EDB9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D182" w14:textId="4C2D07B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Уголь активированный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B30AE" w14:textId="3C93C81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775DA" w14:textId="47733F9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10297" w14:textId="196C126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1EE5" w14:textId="395633A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7F8" w14:textId="70E7743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176100,00</w:t>
            </w:r>
          </w:p>
        </w:tc>
      </w:tr>
      <w:tr w:rsidR="001C5107" w:rsidRPr="005D0C8B" w14:paraId="6559383E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440E" w14:textId="424A5520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4A67A" w14:textId="768CC2A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648C" w14:textId="0C70E02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5мг/мл 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1A9C" w14:textId="44AF734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AC503" w14:textId="21510B6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E51F" w14:textId="62D2B77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B8B9" w14:textId="4C72B51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2764840,00</w:t>
            </w:r>
          </w:p>
        </w:tc>
      </w:tr>
      <w:tr w:rsidR="001C5107" w:rsidRPr="005D0C8B" w14:paraId="53B5183F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3C5A5" w14:textId="66922B78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1FA39" w14:textId="11155B97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27C8" w14:textId="6153BC96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20мг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2402" w14:textId="05A0CA3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4069" w14:textId="4B7D1A1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D442" w14:textId="47BACC7A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D932" w14:textId="02CB7B8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1421840,00</w:t>
            </w:r>
          </w:p>
        </w:tc>
      </w:tr>
      <w:tr w:rsidR="001C5107" w:rsidRPr="005D0C8B" w14:paraId="1821B6F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C030C" w14:textId="135736A2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8C1F" w14:textId="7B676354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53E9" w14:textId="6476BBD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капли глазные 2,5%5,0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D288" w14:textId="163AFC0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0C9" w14:textId="00C52C84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3FB8" w14:textId="46276346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415F" w14:textId="71E5332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156810,00</w:t>
            </w:r>
          </w:p>
        </w:tc>
      </w:tr>
      <w:tr w:rsidR="001C5107" w:rsidRPr="005D0C8B" w14:paraId="4ADBD8A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F29F" w14:textId="2EBF1385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38938" w14:textId="485A858D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3D972" w14:textId="3A109F17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10мг/1мл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DBC9" w14:textId="79F982FF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5AAE" w14:textId="0EB564EE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8293" w14:textId="407EEB7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3889" w14:textId="0B6BF7CC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51630,00</w:t>
            </w:r>
          </w:p>
        </w:tc>
      </w:tr>
      <w:tr w:rsidR="001C5107" w:rsidRPr="005D0C8B" w14:paraId="380A5898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F7013" w14:textId="46173EEF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496B" w14:textId="53C24BC3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C5068" w14:textId="2AB3FE7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инфукзий250мг5/мл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8B03" w14:textId="5F3BA98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B4C7" w14:textId="266E64E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0318" w14:textId="21C2B2CD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9086" w14:textId="7AB34AD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948000,00</w:t>
            </w:r>
          </w:p>
        </w:tc>
      </w:tr>
      <w:tr w:rsidR="001C5107" w:rsidRPr="005D0C8B" w14:paraId="40BD6D37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BD1A" w14:textId="2AA51DF2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7AA5" w14:textId="5FE15400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CA82" w14:textId="5636BFAD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2 </w:t>
            </w: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AA67" w14:textId="1AF25DD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0EB5" w14:textId="76D5BBC2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EEB3" w14:textId="5625601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24A9" w14:textId="3AC1C649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1564536,00</w:t>
            </w:r>
          </w:p>
        </w:tc>
      </w:tr>
      <w:tr w:rsidR="001C5107" w:rsidRPr="005D0C8B" w14:paraId="63F9CF05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1C97" w14:textId="48766D27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98B0" w14:textId="62606DDF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5B87" w14:textId="0D642784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90мг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F75F" w14:textId="6674EE7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398" w14:textId="3327FCB3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E045" w14:textId="0BB39AD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6693" w14:textId="2B780230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42678,00</w:t>
            </w:r>
          </w:p>
        </w:tc>
      </w:tr>
      <w:tr w:rsidR="001C5107" w:rsidRPr="005D0C8B" w14:paraId="44DBB423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0B17" w14:textId="5C03710E" w:rsidR="001C5107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2655" w14:textId="2863F71A" w:rsidR="001C5107" w:rsidRPr="0072080E" w:rsidRDefault="001C5107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4E78" w14:textId="564CBA5C" w:rsidR="001C5107" w:rsidRPr="0072080E" w:rsidRDefault="001C5107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таблетка 60мг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FEED" w14:textId="1F2BBAB7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9FD0" w14:textId="773EFC1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E6F8" w14:textId="616B259B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B454" w14:textId="0842CA31" w:rsidR="001C5107" w:rsidRPr="001C5107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31852,00</w:t>
            </w:r>
          </w:p>
        </w:tc>
      </w:tr>
      <w:tr w:rsidR="0072080E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604A44AF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59 120 </w:t>
            </w:r>
            <w:r w:rsidR="001C51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</w:t>
            </w:r>
            <w:r w:rsidR="001C51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00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1326F480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proofErr w:type="spellStart"/>
      <w:r w:rsidR="008B53B5">
        <w:rPr>
          <w:rFonts w:ascii="Times New Roman" w:hAnsi="Times New Roman" w:cs="Times New Roman"/>
        </w:rPr>
        <w:t>ВАптеку</w:t>
      </w:r>
      <w:proofErr w:type="spellEnd"/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3CAFC55F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1</w:t>
      </w:r>
      <w:r w:rsidR="008B53B5">
        <w:rPr>
          <w:rFonts w:ascii="Times New Roman" w:hAnsi="Times New Roman" w:cs="Times New Roman"/>
          <w:b/>
          <w:spacing w:val="2"/>
        </w:rPr>
        <w:t>8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8B53B5">
        <w:rPr>
          <w:rFonts w:ascii="Times New Roman" w:hAnsi="Times New Roman" w:cs="Times New Roman"/>
          <w:b/>
          <w:spacing w:val="2"/>
        </w:rPr>
        <w:t>24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345A93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</w:t>
      </w:r>
      <w:r w:rsidR="00690CE7" w:rsidRPr="00482DC8">
        <w:rPr>
          <w:rFonts w:ascii="Times New Roman" w:hAnsi="Times New Roman" w:cs="Times New Roman"/>
          <w:spacing w:val="2"/>
        </w:rPr>
        <w:lastRenderedPageBreak/>
        <w:t>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8B53B5">
        <w:rPr>
          <w:rFonts w:ascii="Times New Roman" w:hAnsi="Times New Roman" w:cs="Times New Roman"/>
          <w:b/>
          <w:spacing w:val="2"/>
        </w:rPr>
        <w:t>24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B53B5">
        <w:rPr>
          <w:rFonts w:ascii="Times New Roman" w:hAnsi="Times New Roman" w:cs="Times New Roman"/>
          <w:b/>
          <w:spacing w:val="2"/>
        </w:rPr>
        <w:t>24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январ</w:t>
      </w:r>
      <w:r w:rsidR="007138E2">
        <w:rPr>
          <w:rFonts w:ascii="Times New Roman" w:hAnsi="Times New Roman" w:cs="Times New Roman"/>
          <w:b/>
          <w:spacing w:val="2"/>
          <w:lang w:val="kk-KZ"/>
        </w:rPr>
        <w:t>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CB2354" w14:textId="033B2C1C" w:rsidR="00252E93" w:rsidRDefault="00955025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Раева</w:t>
      </w:r>
      <w:proofErr w:type="spellEnd"/>
      <w:r>
        <w:rPr>
          <w:rFonts w:ascii="Times New Roman" w:hAnsi="Times New Roman" w:cs="Times New Roman"/>
          <w:b/>
        </w:rPr>
        <w:t xml:space="preserve"> А. К.</w:t>
      </w:r>
    </w:p>
    <w:p w14:paraId="2319AA97" w14:textId="2AB22ADD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3291E" w14:textId="2FED2CA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EAD2" w14:textId="27FB403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DAAA0F" w14:textId="1BBAF0DF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B75262" w14:textId="2CE05C5C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43F87C" w14:textId="68A0765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E840B7" w14:textId="5F07A244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E8F939" w14:textId="7EADD67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C6D5" w14:textId="081DC25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5E2F7" w14:textId="74D109A0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B2E8C" w14:textId="34E5683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C8230" w14:textId="297B54B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6DABD2" w14:textId="39659219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A297D6" w14:textId="45EA54F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CA336A" w14:textId="6D233F60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4325DB" w14:textId="371036A0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0C598B" w14:textId="68D3CC8F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5B8A74" w14:textId="72DB4B52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E5780E" w14:textId="3B3BA740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8C06E2" w14:textId="68F0F4A0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E586F2" w14:textId="4676F689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DCD317" w14:textId="1E9AF3B9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84B5EE" w14:textId="77777777" w:rsidR="0072080E" w:rsidRDefault="0072080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A3881B" w14:textId="0C031D58" w:rsidR="00CF7621" w:rsidRDefault="00CF762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96A45" w14:textId="28BEC6D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DEDDA1" w14:textId="35E933D1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75B9F5" w14:textId="156BCE7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0D6BCB" w14:textId="1CED08A4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3067" w14:textId="2D5ABB6E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546E7" w14:textId="6D0DBA85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B97FC5" w14:textId="6167815B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A6343" w14:textId="071EEE11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FA4CB" w14:textId="77777777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970B5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stru.kz/code_new.jsp?&amp;t=%D0%A4%D0%B5%D0%BD%D0%BE%D0%BB%D1%84%D1%82%D0%B0%D0%BB%D0%B5%D0%B8%D0%BD%20%D0%BF%D0%BE%D1%80%D0%BE%D1%88%D0%BE%D0%BA&amp;s=common&amp;p=10&amp;n=0&amp;S=201452%2E500&amp;N=%D0%A4%D0%B5%D0%BD%D0%BE%D0%BB%D1%84%D1%82%D0%B0%D0%BB%D0%B5%D0%B8%D0%BD&amp;fc=1&amp;fg=1&amp;new=201452.500.0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0%A4%D0%B5%D0%BD%D0%BE%D0%BB%D1%84%D1%82%D0%B0%D0%BB%D0%B5%D0%B8%D0%BD%20%D0%BF%D0%BE%D1%80%D0%BE%D1%88%D0%BE%D0%BA&amp;s=common&amp;p=10&amp;n=0&amp;S=201452%2E500&amp;N=%D0%A4%D0%B5%D0%BD%D0%BE%D0%BB%D1%84%D1%82%D0%B0%D0%BB%D0%B5%D0%B8%D0%BD&amp;fc=1&amp;fg=1&amp;new=201452.500.00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5000F-7A79-4695-A48D-01FE6E4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15</Pages>
  <Words>6349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698</cp:revision>
  <cp:lastPrinted>2023-01-09T10:58:00Z</cp:lastPrinted>
  <dcterms:created xsi:type="dcterms:W3CDTF">2017-02-20T06:30:00Z</dcterms:created>
  <dcterms:modified xsi:type="dcterms:W3CDTF">2023-03-27T07:57:00Z</dcterms:modified>
</cp:coreProperties>
</file>