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36262CF2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5632DB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2022 год</w:t>
      </w:r>
    </w:p>
    <w:p w14:paraId="4289EDBB" w14:textId="4B7941A8" w:rsidR="009B4EEE" w:rsidRPr="00443238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665A82">
        <w:rPr>
          <w:sz w:val="28"/>
          <w:szCs w:val="28"/>
        </w:rPr>
        <w:t>3</w:t>
      </w:r>
      <w:r w:rsidR="005632DB">
        <w:rPr>
          <w:sz w:val="28"/>
          <w:szCs w:val="28"/>
        </w:rPr>
        <w:t>2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4CB2A6B8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5632DB">
        <w:rPr>
          <w:sz w:val="24"/>
          <w:szCs w:val="24"/>
        </w:rPr>
        <w:t>17</w:t>
      </w:r>
      <w:r w:rsidR="008D33CA">
        <w:rPr>
          <w:sz w:val="24"/>
          <w:szCs w:val="24"/>
        </w:rPr>
        <w:t xml:space="preserve"> </w:t>
      </w:r>
      <w:r w:rsidR="00AC0FC4">
        <w:rPr>
          <w:sz w:val="24"/>
          <w:szCs w:val="24"/>
        </w:rPr>
        <w:t>октября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9F7785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1E926940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tbl>
      <w:tblPr>
        <w:tblW w:w="14775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1870"/>
        <w:gridCol w:w="6347"/>
        <w:gridCol w:w="812"/>
        <w:gridCol w:w="1098"/>
        <w:gridCol w:w="1879"/>
        <w:gridCol w:w="2248"/>
      </w:tblGrid>
      <w:tr w:rsidR="00086BAE" w:rsidRPr="00B35BD1" w14:paraId="176AFC97" w14:textId="77777777" w:rsidTr="00D80D49">
        <w:trPr>
          <w:trHeight w:val="509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8D7A2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55730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EB783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42E5CC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768859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596B84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E6EBD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86BAE" w:rsidRPr="00B35BD1" w14:paraId="2CCF91C5" w14:textId="77777777" w:rsidTr="00D80D49">
        <w:trPr>
          <w:trHeight w:val="509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DB9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D6B3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6193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285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10BE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E8C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8E30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0E5F" w:rsidRPr="00B35BD1" w14:paraId="6D9F7E12" w14:textId="77777777" w:rsidTr="00D80D49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7ED3D" w14:textId="3855A20A" w:rsidR="00A50E5F" w:rsidRPr="00A05EDB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B0005" w14:textId="2797AFC8" w:rsidR="00A50E5F" w:rsidRPr="00D80D49" w:rsidRDefault="00D80D49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Урапидил</w:t>
            </w:r>
            <w:proofErr w:type="spellEnd"/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6548" w14:textId="2FD5E170" w:rsidR="00A50E5F" w:rsidRPr="00D80D49" w:rsidRDefault="00D80D49" w:rsidP="00A50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5 мг/мл, 5,0 № 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64E1A" w14:textId="39FC0C5F" w:rsidR="00A50E5F" w:rsidRPr="00A50E5F" w:rsidRDefault="00D80D49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F2F36" w14:textId="4CF108B9" w:rsidR="00A50E5F" w:rsidRPr="00A50E5F" w:rsidRDefault="00D80D49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F684" w14:textId="2C98ABD6" w:rsidR="00A50E5F" w:rsidRPr="00A50E5F" w:rsidRDefault="00D80D49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3 456,01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8263C" w14:textId="6709BD54" w:rsidR="00D80D49" w:rsidRPr="00980570" w:rsidRDefault="00D80D49" w:rsidP="00D8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864 002,50</w:t>
            </w:r>
          </w:p>
        </w:tc>
      </w:tr>
      <w:tr w:rsidR="00D47253" w:rsidRPr="00B35BD1" w14:paraId="38A679C6" w14:textId="77777777" w:rsidTr="00D80D49">
        <w:trPr>
          <w:trHeight w:val="303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E66B" w14:textId="38859711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2785B" w14:textId="120A8463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FFA99" w14:textId="526F6082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D9A9E" w14:textId="1C2807E8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193D7" w14:textId="46C4011C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15CED" w14:textId="686B60FE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69DF5" w14:textId="127B5CE6" w:rsidR="00D47253" w:rsidRPr="00A05EDB" w:rsidRDefault="00D80D49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864 002,5</w:t>
            </w:r>
            <w:r w:rsidR="00022B40">
              <w:rPr>
                <w:rFonts w:ascii="Times New Roman" w:hAnsi="Times New Roman" w:cs="Times New Roman"/>
                <w:b/>
                <w:color w:val="000000"/>
                <w:lang w:val="kk-KZ"/>
              </w:rPr>
              <w:t>0</w:t>
            </w:r>
          </w:p>
        </w:tc>
      </w:tr>
    </w:tbl>
    <w:p w14:paraId="659A7C7D" w14:textId="77777777" w:rsidR="00177F9F" w:rsidRPr="00B35BD1" w:rsidRDefault="00177F9F" w:rsidP="00177F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</w:p>
    <w:p w14:paraId="0FA75B45" w14:textId="7584F073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D80D49">
        <w:rPr>
          <w:rFonts w:ascii="Times New Roman" w:hAnsi="Times New Roman" w:cs="Times New Roman"/>
          <w:spacing w:val="2"/>
        </w:rPr>
        <w:t>Аптека.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6118583D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D80D49">
        <w:rPr>
          <w:rFonts w:ascii="Times New Roman" w:hAnsi="Times New Roman" w:cs="Times New Roman"/>
        </w:rPr>
        <w:t>Аптека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48467787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D80D49">
        <w:rPr>
          <w:rFonts w:ascii="Times New Roman" w:hAnsi="Times New Roman" w:cs="Times New Roman"/>
          <w:b/>
          <w:spacing w:val="2"/>
        </w:rPr>
        <w:t>18</w:t>
      </w:r>
      <w:r w:rsidR="007138E2">
        <w:rPr>
          <w:rFonts w:ascii="Times New Roman" w:hAnsi="Times New Roman" w:cs="Times New Roman"/>
          <w:b/>
          <w:spacing w:val="2"/>
        </w:rPr>
        <w:t xml:space="preserve"> октября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D80D49">
        <w:rPr>
          <w:rFonts w:ascii="Times New Roman" w:hAnsi="Times New Roman" w:cs="Times New Roman"/>
          <w:b/>
          <w:spacing w:val="2"/>
        </w:rPr>
        <w:t>26</w:t>
      </w:r>
      <w:r w:rsidR="007138E2">
        <w:rPr>
          <w:rFonts w:ascii="Times New Roman" w:hAnsi="Times New Roman" w:cs="Times New Roman"/>
          <w:b/>
          <w:spacing w:val="2"/>
        </w:rPr>
        <w:t xml:space="preserve"> октября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D60627">
        <w:rPr>
          <w:rFonts w:ascii="Times New Roman" w:hAnsi="Times New Roman" w:cs="Times New Roman"/>
          <w:b/>
          <w:spacing w:val="2"/>
        </w:rPr>
        <w:t>2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D80D49">
        <w:rPr>
          <w:rFonts w:ascii="Times New Roman" w:hAnsi="Times New Roman" w:cs="Times New Roman"/>
          <w:b/>
          <w:spacing w:val="2"/>
        </w:rPr>
        <w:t>26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7138E2">
        <w:rPr>
          <w:rFonts w:ascii="Times New Roman" w:hAnsi="Times New Roman" w:cs="Times New Roman"/>
          <w:b/>
          <w:spacing w:val="2"/>
          <w:lang w:val="kk-KZ"/>
        </w:rPr>
        <w:t>октября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2022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D80D49">
        <w:rPr>
          <w:rFonts w:ascii="Times New Roman" w:hAnsi="Times New Roman" w:cs="Times New Roman"/>
          <w:b/>
          <w:spacing w:val="2"/>
        </w:rPr>
        <w:t>26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7138E2">
        <w:rPr>
          <w:rFonts w:ascii="Times New Roman" w:hAnsi="Times New Roman" w:cs="Times New Roman"/>
          <w:b/>
          <w:spacing w:val="2"/>
          <w:lang w:val="kk-KZ"/>
        </w:rPr>
        <w:t>октября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2022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</w:t>
      </w:r>
      <w:r w:rsidR="007C2A6E" w:rsidRPr="00482DC8">
        <w:rPr>
          <w:rFonts w:ascii="Times New Roman" w:hAnsi="Times New Roman" w:cs="Times New Roman"/>
          <w:color w:val="000000"/>
        </w:rPr>
        <w:lastRenderedPageBreak/>
        <w:t>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4610C1A6" w14:textId="55728DCF"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1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1"/>
    <w:p w14:paraId="70AE87A1" w14:textId="22ACACEC"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0564BF12" w14:textId="57EC635C"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5EEF573D" w14:textId="20B1EF34" w:rsidR="00CB6A8C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65325B7B" w14:textId="77777777" w:rsidR="00D80D49" w:rsidRPr="00D80D49" w:rsidRDefault="00D80D49" w:rsidP="00D80D49">
      <w:pPr>
        <w:spacing w:after="0"/>
        <w:jc w:val="both"/>
        <w:rPr>
          <w:b/>
        </w:rPr>
      </w:pP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lastRenderedPageBreak/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Pr="00482DC8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77777777" w:rsidR="005F3CD8" w:rsidRPr="00482DC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40AB33" w14:textId="00286B92" w:rsidR="00F54560" w:rsidRDefault="00F54560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F5CD6FD" w14:textId="0C026F40" w:rsidR="00D42C95" w:rsidRPr="00D80D49" w:rsidRDefault="00403C59" w:rsidP="00D80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</w:t>
      </w:r>
      <w:r w:rsidR="00D80D49">
        <w:rPr>
          <w:rFonts w:ascii="Times New Roman" w:hAnsi="Times New Roman" w:cs="Times New Roman"/>
          <w:b/>
        </w:rPr>
        <w:t>.</w:t>
      </w:r>
    </w:p>
    <w:p w14:paraId="2E39DD5A" w14:textId="7CED8BAD" w:rsidR="00D42C95" w:rsidRPr="005632DB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145EB7" w14:textId="6882577D" w:rsidR="00D42C95" w:rsidRPr="005632DB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01050E8" w14:textId="77777777" w:rsidR="00D42C95" w:rsidRPr="005632DB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CE31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CE31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2"/>
          <w:p w14:paraId="175E3215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3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3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4F66DFB9" w14:textId="77777777" w:rsidR="00D80D49" w:rsidRDefault="00D80D49" w:rsidP="00D42C95">
      <w:pPr>
        <w:spacing w:after="0"/>
        <w:rPr>
          <w:sz w:val="20"/>
          <w:szCs w:val="20"/>
        </w:rPr>
      </w:pPr>
    </w:p>
    <w:p w14:paraId="28CCCA21" w14:textId="77777777" w:rsidR="00D80D49" w:rsidRDefault="00D80D49" w:rsidP="00D42C95">
      <w:pPr>
        <w:spacing w:after="0"/>
        <w:rPr>
          <w:sz w:val="20"/>
          <w:szCs w:val="20"/>
        </w:rPr>
      </w:pPr>
    </w:p>
    <w:p w14:paraId="02F463BD" w14:textId="77777777" w:rsidR="00D80D49" w:rsidRDefault="00D80D49" w:rsidP="00D42C95">
      <w:pPr>
        <w:spacing w:after="0"/>
        <w:rPr>
          <w:sz w:val="20"/>
          <w:szCs w:val="20"/>
        </w:rPr>
      </w:pPr>
    </w:p>
    <w:p w14:paraId="29C23151" w14:textId="77777777" w:rsidR="00D80D49" w:rsidRDefault="00D80D49" w:rsidP="00D42C95">
      <w:pPr>
        <w:spacing w:after="0"/>
        <w:rPr>
          <w:sz w:val="20"/>
          <w:szCs w:val="20"/>
        </w:rPr>
      </w:pPr>
    </w:p>
    <w:p w14:paraId="5C450811" w14:textId="77777777" w:rsidR="00D80D49" w:rsidRDefault="00D80D49" w:rsidP="00D42C95">
      <w:pPr>
        <w:spacing w:after="0"/>
        <w:rPr>
          <w:sz w:val="20"/>
          <w:szCs w:val="20"/>
        </w:rPr>
      </w:pPr>
    </w:p>
    <w:p w14:paraId="1D8DD6F8" w14:textId="77777777" w:rsidR="00D80D49" w:rsidRDefault="00D80D49" w:rsidP="00D42C95">
      <w:pPr>
        <w:spacing w:after="0"/>
        <w:rPr>
          <w:sz w:val="20"/>
          <w:szCs w:val="20"/>
        </w:rPr>
      </w:pPr>
    </w:p>
    <w:p w14:paraId="783B03C7" w14:textId="77777777" w:rsidR="00D80D49" w:rsidRDefault="00D80D49" w:rsidP="00D42C95">
      <w:pPr>
        <w:spacing w:after="0"/>
        <w:rPr>
          <w:sz w:val="20"/>
          <w:szCs w:val="20"/>
        </w:rPr>
      </w:pPr>
    </w:p>
    <w:p w14:paraId="07B75249" w14:textId="77777777" w:rsidR="00D80D49" w:rsidRDefault="00D80D49" w:rsidP="00D42C95">
      <w:pPr>
        <w:spacing w:after="0"/>
        <w:rPr>
          <w:sz w:val="20"/>
          <w:szCs w:val="20"/>
        </w:rPr>
      </w:pPr>
    </w:p>
    <w:p w14:paraId="0B156E8F" w14:textId="77777777" w:rsidR="00D80D49" w:rsidRDefault="00D80D49" w:rsidP="00D42C95">
      <w:pPr>
        <w:spacing w:after="0"/>
        <w:rPr>
          <w:sz w:val="20"/>
          <w:szCs w:val="20"/>
        </w:rPr>
      </w:pPr>
    </w:p>
    <w:p w14:paraId="21D106FC" w14:textId="77777777" w:rsidR="00D80D49" w:rsidRDefault="00D80D49" w:rsidP="00D42C95">
      <w:pPr>
        <w:spacing w:after="0"/>
        <w:rPr>
          <w:sz w:val="20"/>
          <w:szCs w:val="20"/>
        </w:rPr>
      </w:pPr>
    </w:p>
    <w:p w14:paraId="5472F383" w14:textId="77777777" w:rsidR="00D80D49" w:rsidRDefault="00D80D49" w:rsidP="00D42C95">
      <w:pPr>
        <w:spacing w:after="0"/>
        <w:rPr>
          <w:sz w:val="20"/>
          <w:szCs w:val="20"/>
        </w:rPr>
      </w:pPr>
    </w:p>
    <w:p w14:paraId="425AB60B" w14:textId="77777777" w:rsidR="00D80D49" w:rsidRDefault="00D80D49" w:rsidP="00D42C95">
      <w:pPr>
        <w:spacing w:after="0"/>
        <w:rPr>
          <w:sz w:val="20"/>
          <w:szCs w:val="20"/>
        </w:rPr>
      </w:pPr>
    </w:p>
    <w:p w14:paraId="740F9352" w14:textId="77777777" w:rsidR="00D80D49" w:rsidRDefault="00D80D49" w:rsidP="00D42C95">
      <w:pPr>
        <w:spacing w:after="0"/>
        <w:rPr>
          <w:sz w:val="20"/>
          <w:szCs w:val="20"/>
        </w:rPr>
      </w:pPr>
    </w:p>
    <w:p w14:paraId="01D44832" w14:textId="77777777" w:rsidR="00D80D49" w:rsidRDefault="00D80D49" w:rsidP="00D42C95">
      <w:pPr>
        <w:spacing w:after="0"/>
        <w:rPr>
          <w:sz w:val="20"/>
          <w:szCs w:val="20"/>
        </w:rPr>
      </w:pPr>
    </w:p>
    <w:p w14:paraId="519E59DD" w14:textId="77777777" w:rsidR="00D80D49" w:rsidRDefault="00D80D49" w:rsidP="00D42C95">
      <w:pPr>
        <w:spacing w:after="0"/>
        <w:rPr>
          <w:sz w:val="20"/>
          <w:szCs w:val="20"/>
        </w:rPr>
      </w:pPr>
    </w:p>
    <w:p w14:paraId="332484B6" w14:textId="77777777" w:rsidR="00D80D49" w:rsidRDefault="00D80D49" w:rsidP="00D42C95">
      <w:pPr>
        <w:spacing w:after="0"/>
        <w:rPr>
          <w:sz w:val="20"/>
          <w:szCs w:val="20"/>
        </w:rPr>
      </w:pPr>
    </w:p>
    <w:p w14:paraId="5147C711" w14:textId="42EA5751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CE31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CE31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4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CE317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14:paraId="15B7407F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5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6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" w:name="z235"/>
      <w:bookmarkEnd w:id="6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6"/>
      <w:bookmarkEnd w:id="7"/>
      <w:r w:rsidRPr="001E49BB">
        <w:rPr>
          <w:color w:val="000000"/>
          <w:sz w:val="20"/>
          <w:szCs w:val="20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7"/>
      <w:bookmarkEnd w:id="8"/>
      <w:r w:rsidRPr="001E49BB">
        <w:rPr>
          <w:color w:val="000000"/>
          <w:sz w:val="20"/>
          <w:szCs w:val="20"/>
        </w:rPr>
        <w:lastRenderedPageBreak/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8"/>
      <w:bookmarkEnd w:id="9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9"/>
      <w:bookmarkEnd w:id="10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40"/>
      <w:bookmarkEnd w:id="11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1"/>
      <w:bookmarkEnd w:id="12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4" w:name="z242"/>
      <w:bookmarkEnd w:id="13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5" w:name="z243"/>
      <w:bookmarkEnd w:id="14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4"/>
      <w:bookmarkEnd w:id="15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6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7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8" w:name="z248"/>
      <w:bookmarkEnd w:id="17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9" w:name="z249"/>
      <w:bookmarkEnd w:id="18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19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0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3"/>
      <w:bookmarkEnd w:id="20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4"/>
      <w:bookmarkEnd w:id="21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5"/>
      <w:bookmarkEnd w:id="22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6"/>
      <w:bookmarkEnd w:id="23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29566370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5" w:name="z257"/>
      <w:bookmarkEnd w:id="24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40B66A91" w14:textId="41CF52F8" w:rsidR="00EF7AAA" w:rsidRPr="001E49BB" w:rsidRDefault="00EF7AAA" w:rsidP="00EF7AAA">
      <w:pPr>
        <w:spacing w:after="0"/>
        <w:rPr>
          <w:sz w:val="20"/>
          <w:szCs w:val="20"/>
        </w:rPr>
      </w:pPr>
      <w:bookmarkStart w:id="26" w:name="z258"/>
      <w:bookmarkEnd w:id="25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7" w:name="z259"/>
      <w:bookmarkEnd w:id="26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60"/>
      <w:bookmarkEnd w:id="27"/>
      <w:r w:rsidRPr="001E49BB">
        <w:rPr>
          <w:color w:val="000000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1"/>
      <w:bookmarkEnd w:id="28"/>
      <w:r w:rsidRPr="001E49BB">
        <w:rPr>
          <w:color w:val="000000"/>
          <w:sz w:val="20"/>
          <w:szCs w:val="20"/>
        </w:rPr>
        <w:lastRenderedPageBreak/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2"/>
      <w:bookmarkEnd w:id="29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3"/>
      <w:bookmarkEnd w:id="30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4"/>
      <w:bookmarkEnd w:id="31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5"/>
      <w:bookmarkEnd w:id="32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6"/>
      <w:bookmarkEnd w:id="33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7"/>
      <w:bookmarkEnd w:id="34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4FECD2A8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6" w:name="z268"/>
      <w:bookmarkEnd w:id="35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B5A4615" w14:textId="5955687D"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14:paraId="3C967BAC" w14:textId="3A924A15"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>15.</w:t>
      </w:r>
      <w:r>
        <w:rPr>
          <w:color w:val="000000"/>
          <w:sz w:val="20"/>
          <w:szCs w:val="20"/>
        </w:rPr>
        <w:t xml:space="preserve">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69B1D413" w14:textId="05521F95"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</w:t>
      </w:r>
      <w:proofErr w:type="gramStart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>Заказчика  проводится</w:t>
      </w:r>
      <w:proofErr w:type="gramEnd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14:paraId="3C152784" w14:textId="18F7DBA3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14:paraId="1299C6F3" w14:textId="2E9F9E2A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14:paraId="30722382" w14:textId="3812555B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14:paraId="40D4D3DD" w14:textId="58D82541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7" w:name="z269"/>
      <w:bookmarkEnd w:id="36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FD96B3E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8" w:name="z270"/>
      <w:bookmarkEnd w:id="37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A98A5D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1"/>
      <w:bookmarkEnd w:id="38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14:paraId="1E15F873" w14:textId="345A2DF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2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14:paraId="4BE9126B" w14:textId="00D576C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3"/>
      <w:bookmarkEnd w:id="40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1FA5BD6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4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5"/>
      <w:bookmarkEnd w:id="42"/>
      <w:r w:rsidRPr="001E49BB">
        <w:rPr>
          <w:color w:val="000000"/>
          <w:sz w:val="20"/>
          <w:szCs w:val="20"/>
        </w:rPr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6"/>
      <w:bookmarkEnd w:id="43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582AC10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7"/>
      <w:bookmarkEnd w:id="44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8"/>
      <w:bookmarkEnd w:id="45"/>
      <w:r w:rsidRPr="001E49BB">
        <w:rPr>
          <w:color w:val="000000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9"/>
      <w:bookmarkEnd w:id="46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B3BCCC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80"/>
      <w:bookmarkEnd w:id="47"/>
      <w:r w:rsidRPr="001E49BB">
        <w:rPr>
          <w:color w:val="000000"/>
          <w:sz w:val="20"/>
          <w:szCs w:val="20"/>
        </w:rPr>
        <w:lastRenderedPageBreak/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500D049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1"/>
      <w:bookmarkEnd w:id="48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3D309D9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2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59E2A39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3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373FF29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4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66CB245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5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68C32D5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6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5" w:name="z287"/>
      <w:bookmarkEnd w:id="54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0509AEA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6" w:name="z288"/>
      <w:bookmarkEnd w:id="55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4E12C16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9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3958B3B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90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1EAEB4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1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601E93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2"/>
      <w:bookmarkEnd w:id="59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14:paraId="73BBAB33" w14:textId="40FB158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3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0A2F49F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4"/>
      <w:bookmarkEnd w:id="61"/>
      <w:r w:rsidRPr="001E49BB">
        <w:rPr>
          <w:color w:val="000000"/>
          <w:sz w:val="20"/>
          <w:szCs w:val="20"/>
        </w:rPr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4526E94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5"/>
      <w:bookmarkEnd w:id="62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493E100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6"/>
      <w:bookmarkEnd w:id="63"/>
      <w:r w:rsidRPr="001E49BB">
        <w:rPr>
          <w:color w:val="000000"/>
          <w:sz w:val="20"/>
          <w:szCs w:val="20"/>
        </w:rPr>
        <w:lastRenderedPageBreak/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28DB1600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7"/>
      <w:bookmarkEnd w:id="64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082A07E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8"/>
      <w:bookmarkEnd w:id="65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9"/>
      <w:bookmarkEnd w:id="66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53DB526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300"/>
      <w:bookmarkEnd w:id="6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2FA1CBC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1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0" w:name="z302"/>
      <w:bookmarkEnd w:id="69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136537B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1" w:name="z303"/>
      <w:bookmarkEnd w:id="7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4"/>
      <w:bookmarkEnd w:id="71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5"/>
      <w:bookmarkEnd w:id="72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6"/>
      <w:bookmarkEnd w:id="73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7"/>
      <w:bookmarkEnd w:id="74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8"/>
      <w:bookmarkEnd w:id="75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0120757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9"/>
      <w:bookmarkEnd w:id="76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8" w:name="z310"/>
      <w:bookmarkEnd w:id="77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14:paraId="16542CB1" w14:textId="7EC803F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9" w:name="z311"/>
      <w:bookmarkEnd w:id="78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63B1910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2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25F3663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3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0F26635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4"/>
      <w:bookmarkEnd w:id="81"/>
      <w:r w:rsidRPr="001E49BB">
        <w:rPr>
          <w:color w:val="000000"/>
          <w:sz w:val="20"/>
          <w:szCs w:val="20"/>
        </w:rPr>
        <w:lastRenderedPageBreak/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462995E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5"/>
      <w:bookmarkEnd w:id="82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5DB009DF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6"/>
      <w:bookmarkEnd w:id="83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7"/>
      <w:bookmarkEnd w:id="84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18C78127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6" w:name="z318"/>
      <w:bookmarkEnd w:id="8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75C6A7D5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7" w:name="z319"/>
      <w:bookmarkEnd w:id="86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CE317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14:paraId="470E1EBE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4835AA60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5F4AC" w14:textId="2418557C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943835" w14:textId="553D3201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427A8" w14:textId="456222F6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4036B" w14:textId="266407B9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9149A" w14:textId="33E8545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7E212" w14:textId="2AA8B84A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B2AA27" w14:textId="523667A5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32F7BE" w14:textId="1A56DC7D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1555E30" w14:textId="130B0273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69B34C" w14:textId="7A1022F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819DB42" w14:textId="72FD4D1D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843F14" w14:textId="3E74D1AF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9D0450" w14:textId="7CBB2D7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CBA46A" w14:textId="266F584B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AEA4C" w14:textId="7ECEC14E" w:rsidR="00DC0C02" w:rsidRDefault="00C1613F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bookmarkStart w:id="88" w:name="_GoBack"/>
            <w:bookmarkEnd w:id="88"/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3055"/>
    <w:rsid w:val="0008331F"/>
    <w:rsid w:val="00084464"/>
    <w:rsid w:val="00086BAE"/>
    <w:rsid w:val="0009481C"/>
    <w:rsid w:val="00097EA6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57F0"/>
    <w:rsid w:val="00260D15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956"/>
    <w:rsid w:val="004B0B6C"/>
    <w:rsid w:val="004B43B6"/>
    <w:rsid w:val="004C4EBE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F5884"/>
    <w:rsid w:val="006F7218"/>
    <w:rsid w:val="006F79BD"/>
    <w:rsid w:val="007006C1"/>
    <w:rsid w:val="00702C61"/>
    <w:rsid w:val="007138E2"/>
    <w:rsid w:val="00717189"/>
    <w:rsid w:val="00717E5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6D1F"/>
    <w:rsid w:val="008A659C"/>
    <w:rsid w:val="008B0403"/>
    <w:rsid w:val="008B2A9F"/>
    <w:rsid w:val="008B4FA6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3007A"/>
    <w:rsid w:val="00937E7A"/>
    <w:rsid w:val="00940C36"/>
    <w:rsid w:val="00941C2B"/>
    <w:rsid w:val="00944FEF"/>
    <w:rsid w:val="009458A2"/>
    <w:rsid w:val="00951A86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61C5"/>
    <w:rsid w:val="00A2622F"/>
    <w:rsid w:val="00A269DC"/>
    <w:rsid w:val="00A306F0"/>
    <w:rsid w:val="00A317B6"/>
    <w:rsid w:val="00A40D1F"/>
    <w:rsid w:val="00A50E5F"/>
    <w:rsid w:val="00A53EB6"/>
    <w:rsid w:val="00A55838"/>
    <w:rsid w:val="00A55DA8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5FE3"/>
    <w:rsid w:val="00C57116"/>
    <w:rsid w:val="00C576DB"/>
    <w:rsid w:val="00C62375"/>
    <w:rsid w:val="00C63623"/>
    <w:rsid w:val="00C63F13"/>
    <w:rsid w:val="00C65238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63D1"/>
    <w:rsid w:val="00D006A1"/>
    <w:rsid w:val="00D03CC8"/>
    <w:rsid w:val="00D05BFE"/>
    <w:rsid w:val="00D101D7"/>
    <w:rsid w:val="00D12005"/>
    <w:rsid w:val="00D12A2A"/>
    <w:rsid w:val="00D169C5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6A8"/>
    <w:rsid w:val="00DC2F03"/>
    <w:rsid w:val="00DC67CD"/>
    <w:rsid w:val="00DD0B1D"/>
    <w:rsid w:val="00DD12A2"/>
    <w:rsid w:val="00DD4293"/>
    <w:rsid w:val="00DD52E8"/>
    <w:rsid w:val="00DD6EBA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75C12-2E6E-4E86-99ED-8915DF9E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12</Pages>
  <Words>5430</Words>
  <Characters>30953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665</cp:revision>
  <cp:lastPrinted>2022-10-17T09:55:00Z</cp:lastPrinted>
  <dcterms:created xsi:type="dcterms:W3CDTF">2017-02-20T06:30:00Z</dcterms:created>
  <dcterms:modified xsi:type="dcterms:W3CDTF">2022-10-17T10:44:00Z</dcterms:modified>
</cp:coreProperties>
</file>