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4BCD" w14:textId="144081B2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2A2EE4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14A7E995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2A2EE4">
        <w:rPr>
          <w:sz w:val="28"/>
          <w:szCs w:val="28"/>
        </w:rPr>
        <w:t>3</w:t>
      </w:r>
    </w:p>
    <w:p w14:paraId="374CD669" w14:textId="6E5BC50B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2A2EE4">
        <w:rPr>
          <w:sz w:val="24"/>
          <w:szCs w:val="24"/>
        </w:rPr>
        <w:t>15</w:t>
      </w:r>
      <w:r w:rsidR="00C534D6" w:rsidRPr="00C534D6">
        <w:rPr>
          <w:sz w:val="24"/>
          <w:szCs w:val="24"/>
        </w:rPr>
        <w:t xml:space="preserve"> </w:t>
      </w:r>
      <w:r w:rsidR="00625E32">
        <w:rPr>
          <w:sz w:val="24"/>
          <w:szCs w:val="24"/>
        </w:rPr>
        <w:t>дека</w:t>
      </w:r>
      <w:r w:rsidR="00F26CC6">
        <w:rPr>
          <w:sz w:val="24"/>
          <w:szCs w:val="24"/>
        </w:rPr>
        <w:t>бря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488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45"/>
        <w:gridCol w:w="7163"/>
        <w:gridCol w:w="671"/>
        <w:gridCol w:w="1007"/>
        <w:gridCol w:w="1073"/>
        <w:gridCol w:w="1300"/>
      </w:tblGrid>
      <w:tr w:rsidR="000A4185" w:rsidRPr="00B35BD1" w14:paraId="0A5CB9F5" w14:textId="77777777" w:rsidTr="009D1F7F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9D1F7F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1F7F" w:rsidRPr="005D0C8B" w14:paraId="754DDDDA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1E3E" w14:textId="60D236AD" w:rsidR="009D1F7F" w:rsidRPr="0037381B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81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FEC8B" w14:textId="05E08183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Алклометазон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2256EF" w14:textId="06933AB2" w:rsidR="009D1F7F" w:rsidRPr="009D1F7F" w:rsidRDefault="009D1F7F" w:rsidP="009D1F7F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крем 0,05%20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6DB86A" w14:textId="796D899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866B7" w14:textId="7A445E3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95AC4" w14:textId="2BDE4CD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1 708,49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BD457" w14:textId="0A3712F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51 254,70</w:t>
            </w:r>
          </w:p>
        </w:tc>
      </w:tr>
      <w:tr w:rsidR="009D1F7F" w:rsidRPr="005D0C8B" w14:paraId="572CAFD4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BCE4C" w14:textId="68624423" w:rsidR="009D1F7F" w:rsidRPr="0037381B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5FCD2" w14:textId="10D52328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Ацетилцистеин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0DB81" w14:textId="593F6B8B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таблетка 600мг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1CE30" w14:textId="7DDEC04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FD79C" w14:textId="65825E7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F6327" w14:textId="557002B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165,33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B7CB9" w14:textId="45259C8C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24 799,50</w:t>
            </w:r>
          </w:p>
        </w:tc>
      </w:tr>
      <w:tr w:rsidR="009D1F7F" w:rsidRPr="005D0C8B" w14:paraId="1125526C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AEDD4" w14:textId="5FD7AD02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2989B" w14:textId="5BB28195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Атропина сульфат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357429" w14:textId="710DAC21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глазные капли 10мг/мл №5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62608" w14:textId="4EF36DD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DDD248" w14:textId="6BC8C54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8D1AD" w14:textId="104583F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157,09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09231" w14:textId="55E4A41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4 712,70</w:t>
            </w:r>
          </w:p>
        </w:tc>
      </w:tr>
      <w:tr w:rsidR="009D1F7F" w:rsidRPr="005D0C8B" w14:paraId="299FCA9D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8A459" w14:textId="722CBF6D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5EE94" w14:textId="6A2218FA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Азелаиновая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кислота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0E9488" w14:textId="6D3C924A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гель  15</w:t>
            </w:r>
            <w:proofErr w:type="gram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%30</w:t>
            </w:r>
            <w:r w:rsidR="001274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50D68" w14:textId="3F7744B8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02D1D" w14:textId="5D941C3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FA5AD" w14:textId="160A330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4 644,39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3A64E" w14:textId="205397D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139 331,70</w:t>
            </w:r>
          </w:p>
        </w:tc>
      </w:tr>
      <w:tr w:rsidR="009D1F7F" w:rsidRPr="005D0C8B" w14:paraId="0FC22437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B8B1E" w14:textId="25F409A7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4E467" w14:textId="39252595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Ампициллин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B0979" w14:textId="47070489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порошок для приготовления инъекций 1гр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760CA" w14:textId="41F4CAD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90CB5" w14:textId="6716EC6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9681A" w14:textId="75790CA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61,39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B79F3" w14:textId="3FE6601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184 170,00</w:t>
            </w:r>
          </w:p>
        </w:tc>
      </w:tr>
      <w:tr w:rsidR="009D1F7F" w:rsidRPr="005D0C8B" w14:paraId="282463E8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E3FA2" w14:textId="17198011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BDC94" w14:textId="611F9B25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Аллопуринол</w:t>
            </w:r>
            <w:proofErr w:type="spellEnd"/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9F27B" w14:textId="7345D17C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таблетка 100мг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F834EC" w14:textId="0400557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30C36" w14:textId="1BDAFE7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86297" w14:textId="3B61AF7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AEEB5" w14:textId="2D96437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7 232,00</w:t>
            </w:r>
          </w:p>
        </w:tc>
      </w:tr>
      <w:tr w:rsidR="009D1F7F" w:rsidRPr="005D0C8B" w14:paraId="50A90682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77BB" w14:textId="7F6B872F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781B38" w14:textId="148FC85D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Амброксол</w:t>
            </w:r>
            <w:proofErr w:type="spellEnd"/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92ED3" w14:textId="58827A75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таблетки 30мг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63BAE" w14:textId="78A661F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6C52AF" w14:textId="22098D7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ACE090" w14:textId="6383BE7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19,52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FB7BF" w14:textId="502E4DE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58 560,00</w:t>
            </w:r>
          </w:p>
        </w:tc>
      </w:tr>
      <w:tr w:rsidR="009D1F7F" w:rsidRPr="005D0C8B" w14:paraId="7FE8DDE8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1A927" w14:textId="239610DB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3070B" w14:textId="6B065D2B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Антитромбин III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234F2" w14:textId="20A0B073" w:rsidR="009D1F7F" w:rsidRPr="001274AB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18"/>
                <w:szCs w:val="18"/>
              </w:rPr>
            </w:pPr>
            <w:r w:rsidRPr="00127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Порошок </w:t>
            </w:r>
            <w:proofErr w:type="spellStart"/>
            <w:r w:rsidRPr="00127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лиофилизированный</w:t>
            </w:r>
            <w:proofErr w:type="spellEnd"/>
            <w:r w:rsidRPr="00127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приготовления раствора для внутривенного введения в комплекте с растворителем (вода для инъекций), 500 МЕ, 10 мл, №1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5FCCF" w14:textId="1B6F174C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506352" w14:textId="0FDD6E9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F1DA0" w14:textId="3CE76DB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87 387,27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05EFE" w14:textId="1569ED4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1 747 745,40</w:t>
            </w:r>
          </w:p>
        </w:tc>
      </w:tr>
      <w:tr w:rsidR="009D1F7F" w:rsidRPr="005D0C8B" w14:paraId="1BE29A46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1BD4" w14:textId="5F4533D6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77E45" w14:textId="6E311C1A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Блеомицин</w:t>
            </w:r>
            <w:proofErr w:type="spellEnd"/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C00F" w14:textId="4F9DEC5D" w:rsidR="009D1F7F" w:rsidRPr="001274AB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74AB">
              <w:rPr>
                <w:rFonts w:ascii="Times New Roman" w:hAnsi="Times New Roman" w:cs="Times New Roman"/>
                <w:sz w:val="18"/>
                <w:szCs w:val="18"/>
              </w:rPr>
              <w:t>лиофизилат</w:t>
            </w:r>
            <w:proofErr w:type="spellEnd"/>
            <w:r w:rsidRPr="001274AB">
              <w:rPr>
                <w:rFonts w:ascii="Times New Roman" w:hAnsi="Times New Roman" w:cs="Times New Roman"/>
                <w:sz w:val="18"/>
                <w:szCs w:val="18"/>
              </w:rPr>
              <w:t xml:space="preserve"> для</w:t>
            </w:r>
            <w:r w:rsidRPr="001274AB">
              <w:rPr>
                <w:rFonts w:ascii="Times New Roman" w:hAnsi="Times New Roman" w:cs="Times New Roman"/>
                <w:sz w:val="18"/>
                <w:szCs w:val="18"/>
              </w:rPr>
              <w:br/>
              <w:t>приготовления раствора для</w:t>
            </w:r>
            <w:r w:rsidRPr="001274AB">
              <w:rPr>
                <w:rFonts w:ascii="Times New Roman" w:hAnsi="Times New Roman" w:cs="Times New Roman"/>
                <w:sz w:val="18"/>
                <w:szCs w:val="18"/>
              </w:rPr>
              <w:br/>
              <w:t>инъекций 15 мг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2BD29E" w14:textId="1BC0EC8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BE910" w14:textId="533DC25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8F9B5" w14:textId="035472C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5 616,88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06800" w14:textId="59C3C52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168 506,40</w:t>
            </w:r>
          </w:p>
        </w:tc>
      </w:tr>
      <w:tr w:rsidR="009D1F7F" w:rsidRPr="005D0C8B" w14:paraId="3B6BC839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7AFF" w14:textId="52DF2ABE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3446E" w14:textId="6D0FF76C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Бетаметазон+салициловая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кислота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507D9" w14:textId="78819BA6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мазь 30гр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B1282" w14:textId="466E93D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1D6AD" w14:textId="1B29FAC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656F55" w14:textId="3486075F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2 641,19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6CEA78" w14:textId="14D59D0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2 641 190,00</w:t>
            </w:r>
          </w:p>
        </w:tc>
      </w:tr>
      <w:tr w:rsidR="009D1F7F" w:rsidRPr="005D0C8B" w14:paraId="6F3A124E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B046" w14:textId="4887A690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A495E" w14:textId="1893CC51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Брилиантовая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зелень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D701E" w14:textId="1F3D36C7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спиртовый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раствор 1%20,0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1307FD" w14:textId="61F512D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64DA0" w14:textId="11E1B0E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CCF5D" w14:textId="1A4B869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42,86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BED43" w14:textId="5E7773C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25 716,00</w:t>
            </w:r>
          </w:p>
        </w:tc>
      </w:tr>
      <w:tr w:rsidR="009D1F7F" w:rsidRPr="005D0C8B" w14:paraId="6D292AC3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7D14A" w14:textId="0698C317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4CBF7" w14:textId="7912106C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Бетаксолол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1A988" w14:textId="0A6B335B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глазные капли 0,5%5,0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1A856" w14:textId="27A144C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E3D498" w14:textId="70D7611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F8DAF" w14:textId="11B4024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818,15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B2A78" w14:textId="41C71DE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8 181,50</w:t>
            </w:r>
          </w:p>
        </w:tc>
      </w:tr>
      <w:tr w:rsidR="009D1F7F" w:rsidRPr="005D0C8B" w14:paraId="7813E660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1395E" w14:textId="4ACECDC3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2BCF8" w14:textId="450CE6A3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Винкристин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82632" w14:textId="4D9DF357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20"/>
                <w:szCs w:val="20"/>
              </w:rPr>
              <w:t>раствор 1мг/мл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E3D88" w14:textId="0ED2F9C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B5D6E" w14:textId="4EC5902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C0255" w14:textId="0C38E75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770,34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22149" w14:textId="7E10AC8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77 034,00</w:t>
            </w:r>
          </w:p>
        </w:tc>
      </w:tr>
      <w:tr w:rsidR="009D1F7F" w:rsidRPr="005D0C8B" w14:paraId="630F6DB1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4574" w14:textId="16ADAE8C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46350" w14:textId="1AF8C82B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Валсартан</w:t>
            </w:r>
            <w:proofErr w:type="spellEnd"/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2A464" w14:textId="4D405714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Табл.,</w:t>
            </w:r>
            <w:r w:rsidR="001274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покрытые пленочной оболочкой 160мг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9703D" w14:textId="60B7BDC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39AD1" w14:textId="03F7D27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1248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728C8" w14:textId="5551AC9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115,73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446DE" w14:textId="39561D4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144 431,04</w:t>
            </w:r>
          </w:p>
        </w:tc>
      </w:tr>
      <w:tr w:rsidR="009D1F7F" w:rsidRPr="005D0C8B" w14:paraId="49A5EFFB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67F2" w14:textId="51847753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ED91F8" w14:textId="5523E200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Габапентин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5B5E2" w14:textId="239700A0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капсула 300мг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F49F5" w14:textId="37AD13A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65384F" w14:textId="05D749E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E15B9" w14:textId="2F3BF0A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98,91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4510C" w14:textId="298BEB3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692 370,00</w:t>
            </w:r>
          </w:p>
        </w:tc>
      </w:tr>
      <w:tr w:rsidR="009D1F7F" w:rsidRPr="005D0C8B" w14:paraId="2607A8FD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33D80" w14:textId="4C427CDB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B3528" w14:textId="5CA205AC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Валсартан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Сакубитрил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341AE" w14:textId="3A36E241" w:rsidR="009D1F7F" w:rsidRPr="002674FC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674FC">
              <w:rPr>
                <w:rFonts w:ascii="Times New Roman" w:hAnsi="Times New Roman" w:cs="Times New Roman"/>
                <w:sz w:val="18"/>
                <w:szCs w:val="18"/>
              </w:rPr>
              <w:t>таблетка 200мг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0B9DAE" w14:textId="77CA9D4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D0482" w14:textId="33017F6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2E970" w14:textId="5B81193C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605,33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22AFA" w14:textId="02B200F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508 477,20</w:t>
            </w:r>
          </w:p>
        </w:tc>
      </w:tr>
      <w:tr w:rsidR="009D1F7F" w:rsidRPr="005D0C8B" w14:paraId="67C059B4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72F47" w14:textId="3CAF0BE6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6D84DF" w14:textId="4EC071FF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Гадодиамид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8F1CD4" w14:textId="58CD1AEC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0,5ммоль/15мл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51C53C" w14:textId="01DAF7D8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86EEE" w14:textId="4862C83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47C1A" w14:textId="10A830BC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10 530,74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69AA8A" w14:textId="1F625C1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6 844 981,00</w:t>
            </w:r>
          </w:p>
        </w:tc>
      </w:tr>
      <w:tr w:rsidR="009D1F7F" w:rsidRPr="005D0C8B" w14:paraId="014857E7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533C5" w14:textId="15DE5001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FDE77" w14:textId="47E22DA9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Дидрогестерон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64329" w14:textId="4F8EB6C3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Таблетки 10мг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B6420" w14:textId="1B729B6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CC623" w14:textId="16C03368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AA147E" w14:textId="6680DBB8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308,99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0EF47" w14:textId="787A11DC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3 089 900,00</w:t>
            </w:r>
          </w:p>
        </w:tc>
      </w:tr>
      <w:tr w:rsidR="009D1F7F" w:rsidRPr="005D0C8B" w14:paraId="27B25536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41940" w14:textId="57708353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99F90" w14:textId="4AFE870F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Дексаметазон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Тобрамицин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B460E" w14:textId="31062750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глазные капли </w:t>
            </w:r>
            <w:proofErr w:type="gram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суспензия  5</w:t>
            </w:r>
            <w:proofErr w:type="gram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B72C2" w14:textId="7E0C13F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E5710" w14:textId="3066CC1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EF1CE" w14:textId="72AF59D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1 226,60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4F4261" w14:textId="4C16EA7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245 320,00</w:t>
            </w:r>
          </w:p>
        </w:tc>
      </w:tr>
      <w:tr w:rsidR="009D1F7F" w:rsidRPr="005D0C8B" w14:paraId="32DEE1A2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9ED3B" w14:textId="28AB08EE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2EC987" w14:textId="21901C0C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Декспантенол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5F264" w14:textId="541F050C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аэрозоль  для</w:t>
            </w:r>
            <w:proofErr w:type="gram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наружного применения 117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0E8ED" w14:textId="262CE0C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4BD03" w14:textId="22B7B8B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4121A" w14:textId="7D36F5F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942,51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74C81" w14:textId="4086CD4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18 850,20</w:t>
            </w:r>
          </w:p>
        </w:tc>
      </w:tr>
      <w:tr w:rsidR="009D1F7F" w:rsidRPr="005D0C8B" w14:paraId="48E97103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9FDFE" w14:textId="1D86E2CF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1BD74" w14:textId="3090CAC8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Декспантенол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E1694" w14:textId="45118728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5%10гр гель глазная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52D51" w14:textId="0E7D569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85883" w14:textId="796F8AC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87C7E" w14:textId="472B459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3 599,71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CE4FB" w14:textId="621A6BB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35 997,10</w:t>
            </w:r>
          </w:p>
        </w:tc>
      </w:tr>
      <w:tr w:rsidR="009D1F7F" w:rsidRPr="005D0C8B" w14:paraId="477F9081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11EB3" w14:textId="58C98C24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37BCA" w14:textId="3DC02D01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Дексаметазон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0C827" w14:textId="4C7AF5A7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глазные капли 1мг/мл 5,0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B5CDB" w14:textId="2AA3BAA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60B7C" w14:textId="663C6AB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36A49" w14:textId="36D6C45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1 017,51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17557" w14:textId="68376A5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101 751,00</w:t>
            </w:r>
          </w:p>
        </w:tc>
      </w:tr>
      <w:tr w:rsidR="009D1F7F" w:rsidRPr="005D0C8B" w14:paraId="04B79456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B7588" w14:textId="1C99BB4E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F8E097" w14:textId="108B4ABF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Диклофенак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CCAFD5" w14:textId="242EE5A1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суппозитории 100мг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827A4F" w14:textId="30F6730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B1EA4" w14:textId="79A89A7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3294F" w14:textId="543A411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63,23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48A39" w14:textId="59DFC70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12 646,00</w:t>
            </w:r>
          </w:p>
        </w:tc>
      </w:tr>
      <w:tr w:rsidR="009D1F7F" w:rsidRPr="005D0C8B" w14:paraId="7C1B293D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54627" w14:textId="0BA7B9CA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110E0" w14:textId="4ABF2A86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Зопиклон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11886" w14:textId="43DB7377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674FC">
              <w:rPr>
                <w:rFonts w:ascii="Times New Roman" w:hAnsi="Times New Roman" w:cs="Times New Roman"/>
                <w:sz w:val="18"/>
                <w:szCs w:val="18"/>
              </w:rPr>
              <w:t>7,5мг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69A89" w14:textId="78E32FC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322AF" w14:textId="3EADF0F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64DCB" w14:textId="3202FD3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113,27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343C2" w14:textId="37B80E2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113 270,00</w:t>
            </w:r>
          </w:p>
        </w:tc>
      </w:tr>
      <w:tr w:rsidR="009D1F7F" w:rsidRPr="005D0C8B" w14:paraId="77EE82D6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CBBE" w14:textId="5AD0EEC0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F2AA9" w14:textId="22CF25CE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Жировая эмульсия 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4924C" w14:textId="563F55EE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Эмульсия для инфузий 20%100,0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D6605" w14:textId="2B02CCD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8FA3C3" w14:textId="257977E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A306E" w14:textId="3FF98EF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7 435,10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0B577" w14:textId="63ED8BF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2 230 530,00</w:t>
            </w:r>
          </w:p>
        </w:tc>
      </w:tr>
      <w:tr w:rsidR="009D1F7F" w:rsidRPr="005D0C8B" w14:paraId="2CFD0CEC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493FA" w14:textId="471B8DD6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DBA21" w14:textId="7FEA227A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Ибупрофен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A7BCD" w14:textId="005A5239" w:rsidR="009D1F7F" w:rsidRPr="009D1F7F" w:rsidRDefault="002149F5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иньекции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1F7F" w:rsidRPr="009D1F7F">
              <w:rPr>
                <w:rFonts w:ascii="Times New Roman" w:hAnsi="Times New Roman" w:cs="Times New Roman"/>
                <w:sz w:val="18"/>
                <w:szCs w:val="18"/>
              </w:rPr>
              <w:t>400мг/4мл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C2BF5" w14:textId="2B1F697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F3098" w14:textId="6F1D887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801D8" w14:textId="5B092AB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1 164,96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9BB85F" w14:textId="09B7FD68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1 164 960,00</w:t>
            </w:r>
          </w:p>
        </w:tc>
      </w:tr>
      <w:tr w:rsidR="009D1F7F" w:rsidRPr="005D0C8B" w14:paraId="322E0A8A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E71BF" w14:textId="0592687A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E9045" w14:textId="5439AFEF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Кальций глюконат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15F7C" w14:textId="1523FD21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инъекций100мг/мл 10,0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90FA3" w14:textId="7281333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99B42" w14:textId="61973DF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611EA" w14:textId="02311D5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116,78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9F6CE" w14:textId="313FB96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467 120,00</w:t>
            </w:r>
          </w:p>
        </w:tc>
      </w:tr>
      <w:tr w:rsidR="009D1F7F" w:rsidRPr="005D0C8B" w14:paraId="2851ABFB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D5A45" w14:textId="1B1455AF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FCE441" w14:textId="441F495A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Комплекс аминокислот для парентерального питания 10%100,0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D6DA0" w14:textId="20B29236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раствор для инфузий 10%100,0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36F11" w14:textId="74B83E4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88DC7" w14:textId="5B39C118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40AC0" w14:textId="51B1A27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7 412,97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D311B" w14:textId="26B19208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4 818 430,50</w:t>
            </w:r>
          </w:p>
        </w:tc>
      </w:tr>
      <w:tr w:rsidR="009D1F7F" w:rsidRPr="005D0C8B" w14:paraId="7F201E0C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69109" w14:textId="5F52AC66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6AFA1" w14:textId="7F4DE040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Кетоконазол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C9784" w14:textId="7D9FF66F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шампунь 2%50,0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D8F99" w14:textId="053C139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AC8F6" w14:textId="6CC8B47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C39D1" w14:textId="6AC10C6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1600,19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2E676" w14:textId="0B06BCE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38 404,56</w:t>
            </w:r>
          </w:p>
        </w:tc>
      </w:tr>
      <w:tr w:rsidR="009D1F7F" w:rsidRPr="005D0C8B" w14:paraId="20113326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BFE67" w14:textId="578C1B06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BAE6E" w14:textId="69A1004B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Клевидипин</w:t>
            </w:r>
            <w:proofErr w:type="spellEnd"/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F72EC" w14:textId="7CBDF1D6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Эмульсия для внутривенного введения 0,5мг/мл 50,0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C8B414" w14:textId="1C89440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15648" w14:textId="5902B7A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7DB1A" w14:textId="584C3A9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87212,66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AD5134" w14:textId="7F7174A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2 616 379,80</w:t>
            </w:r>
          </w:p>
        </w:tc>
      </w:tr>
      <w:tr w:rsidR="009D1F7F" w:rsidRPr="005D0C8B" w14:paraId="7EE9F75C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1C079" w14:textId="4E53DAC5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19D26" w14:textId="52E6B77B" w:rsidR="009D1F7F" w:rsidRPr="001274AB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(Концентрат </w:t>
            </w:r>
            <w:proofErr w:type="spellStart"/>
            <w:r w:rsidRPr="00127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протромбинового</w:t>
            </w:r>
            <w:proofErr w:type="spellEnd"/>
            <w:r w:rsidRPr="00127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комплекса)</w:t>
            </w:r>
            <w:r w:rsidR="00127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Лиофилизированный</w:t>
            </w:r>
            <w:proofErr w:type="spellEnd"/>
            <w:r w:rsidRPr="00127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порошок для приготовления раствора для внутривенного введения комплекте с растворителем (вода для инъекции) и набором для введения, 500 МЕ,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6A7AD" w14:textId="79AB2A5F" w:rsidR="009D1F7F" w:rsidRPr="001274AB" w:rsidRDefault="009D1F7F" w:rsidP="009D1F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7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Лиофилизированный</w:t>
            </w:r>
            <w:proofErr w:type="spellEnd"/>
            <w:r w:rsidRPr="00127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порошок для приготовления раствора для внутривенного введения комплекте с растворителем (вода для инъекции) и набором для введения, 500 МЕ,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6B6ED8" w14:textId="3E95C9F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80387" w14:textId="13710C4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C0837" w14:textId="72F0BE9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110 169,69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40C55" w14:textId="18CC3C3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5 508 484,50</w:t>
            </w:r>
          </w:p>
        </w:tc>
      </w:tr>
      <w:tr w:rsidR="009D1F7F" w:rsidRPr="005D0C8B" w14:paraId="335EC3D6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4024A" w14:textId="54B02E6E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8A9C9" w14:textId="53EB29EC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Левокарнитин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65E89" w14:textId="27396F3F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раствор для внутривенного введения 200мг/мл 5,0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75716F" w14:textId="6E2EB49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8D63A0" w14:textId="10D3D27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3C2B9" w14:textId="293CDFA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1 127,91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205A1" w14:textId="1F5C5EF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1 127 910,00</w:t>
            </w:r>
          </w:p>
        </w:tc>
      </w:tr>
      <w:tr w:rsidR="009D1F7F" w:rsidRPr="005D0C8B" w14:paraId="4A83DD6D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06707" w14:textId="34118540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D4ACB" w14:textId="7FB412AE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AF9A7" w14:textId="616D9841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глазные капли 0,5%5мл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786671" w14:textId="35B3C8A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ED0BF" w14:textId="4D266F5C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B051B" w14:textId="568B067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2 029,95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FAEDB" w14:textId="2E831E1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710 482,50</w:t>
            </w:r>
          </w:p>
        </w:tc>
      </w:tr>
      <w:tr w:rsidR="009D1F7F" w:rsidRPr="005D0C8B" w14:paraId="40361268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DFA4A" w14:textId="4F88C536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A7C8A5" w14:textId="3A3D9625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Линкомицин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91AAA" w14:textId="4476E3AF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иньекций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30%1,0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10B27D" w14:textId="7725B6DC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9C513B" w14:textId="7CE50EB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52CF5" w14:textId="7A72081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23,42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A9BC2" w14:textId="03AD98E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11 710,00</w:t>
            </w:r>
          </w:p>
        </w:tc>
      </w:tr>
      <w:tr w:rsidR="009D1F7F" w:rsidRPr="005D0C8B" w14:paraId="7511D603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50175" w14:textId="776A109C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5AEEF" w14:textId="67B5E9DF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Метилдопа</w:t>
            </w:r>
            <w:proofErr w:type="spellEnd"/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4E0F7" w14:textId="200983E6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Таблетки 250мг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72AEA" w14:textId="35CF861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461BEA" w14:textId="75583F0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9AFBC" w14:textId="5577CAFC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50,77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77CF6" w14:textId="6FB309B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507 700,00</w:t>
            </w:r>
          </w:p>
        </w:tc>
      </w:tr>
      <w:tr w:rsidR="009D1F7F" w:rsidRPr="005D0C8B" w14:paraId="7BFCB3AC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61F26" w14:textId="5A8E57A5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5DCBC" w14:textId="48DA0772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Метформин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Линаглиптин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1C94C" w14:textId="2815C16F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табл.,покрытые</w:t>
            </w:r>
            <w:proofErr w:type="spellEnd"/>
            <w:proofErr w:type="gram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пленочной оболочкой 2,5мг/850мг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460DF" w14:textId="4288F8C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51305" w14:textId="1BBD3D8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76FA5" w14:textId="45EDCC8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247,07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2FC0F" w14:textId="4ECBBC7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14 824,20</w:t>
            </w:r>
          </w:p>
        </w:tc>
      </w:tr>
      <w:tr w:rsidR="009D1F7F" w:rsidRPr="005D0C8B" w14:paraId="735DD16A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0648" w14:textId="26DC8698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0FC55" w14:textId="6F5C8EC8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Натрий </w:t>
            </w:r>
            <w:proofErr w:type="spellStart"/>
            <w:proofErr w:type="gram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хлорид,калий</w:t>
            </w:r>
            <w:proofErr w:type="spellEnd"/>
            <w:proofErr w:type="gram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хлорид,натрий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гидрокарбонат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AD0C3D" w14:textId="65AA7F9C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Раствор для инфузий 400мл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BB6551" w14:textId="790928B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2A9025" w14:textId="6F6CFE3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8AC5E" w14:textId="4361E4F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312,07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94C38" w14:textId="1D9AA9BC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1 092 245,00</w:t>
            </w:r>
          </w:p>
        </w:tc>
      </w:tr>
      <w:tr w:rsidR="009D1F7F" w:rsidRPr="005D0C8B" w14:paraId="7783BBE9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4FA36" w14:textId="0ABDBDDC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FA2F1" w14:textId="4CDE7DD9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Нистатин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AA94D" w14:textId="58EE7E07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Таблетки 500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ЕД 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DE031" w14:textId="516E536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E7CF7" w14:textId="1081B86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CB5F1" w14:textId="5B8B630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CD0D2" w14:textId="0D625B0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7 300,00</w:t>
            </w:r>
          </w:p>
        </w:tc>
      </w:tr>
      <w:tr w:rsidR="009D1F7F" w:rsidRPr="005D0C8B" w14:paraId="6EDF097F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2F47E" w14:textId="4AB4066A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A4277" w14:textId="0E8EDCF4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Нистатин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4AE05" w14:textId="5065C422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суппозитории 500000ЕД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04A0AD" w14:textId="114A2B4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4E2CB" w14:textId="656BFF1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CD4656" w14:textId="7B24FDB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01ABF" w14:textId="5525A3A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3 438,00</w:t>
            </w:r>
          </w:p>
        </w:tc>
      </w:tr>
      <w:tr w:rsidR="009D1F7F" w:rsidRPr="005D0C8B" w14:paraId="05708A41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763E3" w14:textId="410877B6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FBB86" w14:textId="19BF3E6E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Никотиновая кислота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A0F7F" w14:textId="6B223446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иньекций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1%1,0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152E0" w14:textId="20041F9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5501D" w14:textId="593D19E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F4260" w14:textId="1818A82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722E8C" w14:textId="04F7170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40 210,00</w:t>
            </w:r>
          </w:p>
        </w:tc>
      </w:tr>
      <w:tr w:rsidR="009D1F7F" w:rsidRPr="005D0C8B" w14:paraId="666BC15B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0B376" w14:textId="080721D9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A19F72" w14:textId="58CAC7DE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Нифедипин</w:t>
            </w:r>
            <w:proofErr w:type="spellEnd"/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6E8944" w14:textId="1A3C5F29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Таблетки 30 мг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94E007" w14:textId="163BA9AF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33CB8" w14:textId="09E96A4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D1FF6" w14:textId="5A9E049F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67,86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FCDED" w14:textId="7B242CC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135 720,00</w:t>
            </w:r>
          </w:p>
        </w:tc>
      </w:tr>
      <w:tr w:rsidR="009D1F7F" w:rsidRPr="005D0C8B" w14:paraId="7A3D6F7F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2F41A" w14:textId="62E8510E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B563F" w14:textId="76627B8B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Парацетамол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88FB1" w14:textId="191B79F2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Раствор для инфузий 1% 100 мл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7D6D37" w14:textId="35D62F5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3B0BF" w14:textId="74E3429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05A18" w14:textId="4D7DC1B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926,45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FD01DD" w14:textId="6C7C777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46 322,50</w:t>
            </w:r>
          </w:p>
        </w:tc>
      </w:tr>
      <w:tr w:rsidR="009D1F7F" w:rsidRPr="005D0C8B" w14:paraId="7F6B9B14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9DB7E" w14:textId="474DE443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65B2B" w14:textId="3B2A72EA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Пилокарпин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47E21" w14:textId="4E21E86B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Глазные </w:t>
            </w:r>
            <w:proofErr w:type="gram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капли  10</w:t>
            </w:r>
            <w:proofErr w:type="gram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мг/мл-10мл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7750F" w14:textId="7DFF299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2755A" w14:textId="40EAF29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CBA4F" w14:textId="1069BDB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334,54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466E0" w14:textId="439FB8B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33 454,00</w:t>
            </w:r>
          </w:p>
        </w:tc>
      </w:tr>
      <w:tr w:rsidR="009D1F7F" w:rsidRPr="005D0C8B" w14:paraId="2B0B8FC5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5288A" w14:textId="73E0758D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11823" w14:textId="668758BE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Перметрин</w:t>
            </w:r>
            <w:proofErr w:type="spellEnd"/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97E709" w14:textId="05DE30DC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шампунь0,5% 60мл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870289" w14:textId="617D6CB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9196F" w14:textId="23C173F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1A519" w14:textId="4F8A946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833,39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B76788" w14:textId="126B62A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33 335,60</w:t>
            </w:r>
          </w:p>
        </w:tc>
      </w:tr>
      <w:tr w:rsidR="009D1F7F" w:rsidRPr="005D0C8B" w14:paraId="30B6AACA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9D48" w14:textId="005CEB82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4B263" w14:textId="716453C7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Препараты цинка 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C7B00" w14:textId="38050F2F" w:rsidR="009D1F7F" w:rsidRPr="00F25917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Мазь, 150 мг/г, 50 г, №1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076C5D" w14:textId="3CB4352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522EC" w14:textId="6866D6A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98A61" w14:textId="4C45B03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2 419,70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E927D" w14:textId="2885146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241 970,00</w:t>
            </w:r>
          </w:p>
        </w:tc>
      </w:tr>
      <w:tr w:rsidR="009D1F7F" w:rsidRPr="005D0C8B" w14:paraId="084D6DA5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C5B2F" w14:textId="7723538D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12CED2" w14:textId="30EEE292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Пиперациллин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тазобактам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549B3" w14:textId="35245ECF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порошок для приготовления раствора для внутривенных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иньекций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4,5гр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911B9" w14:textId="146B992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9BACD" w14:textId="7EDED3F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02716" w14:textId="45778FE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2 294,56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583DF3" w14:textId="16D8D95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3 671 296,00</w:t>
            </w:r>
          </w:p>
        </w:tc>
      </w:tr>
      <w:tr w:rsidR="009D1F7F" w:rsidRPr="005D0C8B" w14:paraId="21466662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33259" w14:textId="13EAC9A8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F3E14" w14:textId="5776B675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Пентоксифиллин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D2C28" w14:textId="4F55F1C8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иньекций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2%5,0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3B86B" w14:textId="1817274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6E26B" w14:textId="4B4A1FD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92552" w14:textId="75B34CA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99DC4" w14:textId="7A9141B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360 000,00</w:t>
            </w:r>
          </w:p>
        </w:tc>
      </w:tr>
      <w:tr w:rsidR="009D1F7F" w:rsidRPr="005D0C8B" w14:paraId="793CEE98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A7B8D" w14:textId="0A6C008C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2BA06" w14:textId="004281EC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Пентоксифиллин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73DF0" w14:textId="2F29638B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раствор для инфузий 0,5мг/мл 200,0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FFE25" w14:textId="3193049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65C91A" w14:textId="7023D91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0C76F" w14:textId="2A4D199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3 534,41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4FB0C2" w14:textId="6ADB404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353 441,00</w:t>
            </w:r>
          </w:p>
        </w:tc>
      </w:tr>
      <w:tr w:rsidR="009D1F7F" w:rsidRPr="005D0C8B" w14:paraId="72E95AF4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641F5" w14:textId="5EAE652A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CF8A5" w14:textId="127EDEEE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Стерофундин</w:t>
            </w:r>
            <w:proofErr w:type="spellEnd"/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ABA4F7" w14:textId="61DC95D3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раствор для инфузий 500,0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E46C1A" w14:textId="783D7A6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3E927" w14:textId="698E55A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4507E" w14:textId="1479C2F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843,67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0A4A6" w14:textId="1E392D8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84 367,00</w:t>
            </w:r>
          </w:p>
        </w:tc>
      </w:tr>
      <w:tr w:rsidR="009D1F7F" w:rsidRPr="005D0C8B" w14:paraId="7B776878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FBF19" w14:textId="3F9619FD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2FEEB" w14:textId="283AF9AD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Тиамин хлорид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A593C" w14:textId="666CA0AF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иньекций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50мг/мл 1,0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E20CB" w14:textId="1294B64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D0F52" w14:textId="6E210BD8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119522" w14:textId="04D03FB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10,98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2F2C0" w14:textId="442894F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98 820,00</w:t>
            </w:r>
          </w:p>
        </w:tc>
      </w:tr>
      <w:tr w:rsidR="009D1F7F" w:rsidRPr="005D0C8B" w14:paraId="1EE759C8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50D5" w14:textId="6AC6C4D1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4A2B8" w14:textId="79891FF1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Токоферол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32E2F" w14:textId="705D3C07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капсула 200мг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F838A" w14:textId="63E7808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5FD08" w14:textId="433A88B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8E2B7" w14:textId="379CC8B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E614C" w14:textId="14CD4A0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69 000,00</w:t>
            </w:r>
          </w:p>
        </w:tc>
      </w:tr>
      <w:tr w:rsidR="009D1F7F" w:rsidRPr="005D0C8B" w14:paraId="13104974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8EE17" w14:textId="5A64280D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2D6B9" w14:textId="1C9B5883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Хлорамфеникол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46666" w14:textId="43D4CC4F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глазные капли 0,5% не менее 8,0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9462D" w14:textId="229DF32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5EE23" w14:textId="20867F6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D7AA0" w14:textId="62D36B6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144,91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611A8" w14:textId="63CB994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57 964,00</w:t>
            </w:r>
          </w:p>
        </w:tc>
      </w:tr>
      <w:tr w:rsidR="009D1F7F" w:rsidRPr="005D0C8B" w14:paraId="522EB6E1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3355B" w14:textId="44A67038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29BA8" w14:textId="0E9F6C17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Тетрациклиновая мазь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A4D54" w14:textId="55AEBE9A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Мазь для наружного применения 3%15гр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256C6C" w14:textId="14C4B468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BD746D" w14:textId="5949AB4F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869EB" w14:textId="7A3DD20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242,69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41AA4" w14:textId="30AE8E8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72 807,00</w:t>
            </w:r>
          </w:p>
        </w:tc>
      </w:tr>
      <w:tr w:rsidR="009D1F7F" w:rsidRPr="005D0C8B" w14:paraId="27C83267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91E88" w14:textId="71296990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53DDE" w14:textId="1502614F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Толперизон</w:t>
            </w:r>
            <w:proofErr w:type="spellEnd"/>
            <w:r w:rsidRPr="009D1F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34E28" w14:textId="2BD2F3DC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таблетка 150мг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A2C93" w14:textId="339F08B1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CC74A" w14:textId="771D4FD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62B16" w14:textId="3A8D716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106,46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FD697" w14:textId="5F455FF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42 584,00</w:t>
            </w:r>
          </w:p>
        </w:tc>
      </w:tr>
      <w:tr w:rsidR="009D1F7F" w:rsidRPr="005D0C8B" w14:paraId="1438731A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06F99" w14:textId="5804D8EA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60C30" w14:textId="175BDAF5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Транексамовая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кислота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E4B7B" w14:textId="56E21790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раствор для внутривенного введения 500мг/ 5мл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27071" w14:textId="037EE91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0992E" w14:textId="36BFC0F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A17CEA" w14:textId="755B69E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1 124,84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1D295" w14:textId="4EFA7B0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5 624 200,00</w:t>
            </w:r>
          </w:p>
        </w:tc>
      </w:tr>
      <w:tr w:rsidR="009D1F7F" w:rsidRPr="005D0C8B" w14:paraId="35F3328E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E225C" w14:textId="704088DF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8FCA9" w14:textId="39EBB8E1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Тропикамид</w:t>
            </w:r>
            <w:proofErr w:type="spellEnd"/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1C60C" w14:textId="3AAEC495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Глазные капли 1%-10мл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78E5C" w14:textId="7A4F0A6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D044A" w14:textId="454F984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A4C72" w14:textId="19914A0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388C9" w14:textId="75D2133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115 200,00</w:t>
            </w:r>
          </w:p>
        </w:tc>
      </w:tr>
      <w:tr w:rsidR="009D1F7F" w:rsidRPr="005D0C8B" w14:paraId="142A54BD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9113" w14:textId="1BE42DCE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B5240" w14:textId="23205B58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Теноксикам</w:t>
            </w:r>
            <w:proofErr w:type="spellEnd"/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64F9" w14:textId="5DB856BA" w:rsidR="009D1F7F" w:rsidRPr="00F25917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5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F25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приготовления раствора для инъекций в комплекте с растворителем (вода для инъекций), 20 мг, № 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C18AE3" w14:textId="1738C81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9E58E" w14:textId="786074A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8502D" w14:textId="27688FF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1 082,52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58B527" w14:textId="71673038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541 260,00</w:t>
            </w:r>
          </w:p>
        </w:tc>
      </w:tr>
      <w:tr w:rsidR="009D1F7F" w:rsidRPr="005D0C8B" w14:paraId="195BC2D1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7FE65" w14:textId="613B1F40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74036" w14:textId="2B5CFD03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Тирофибан</w:t>
            </w:r>
            <w:proofErr w:type="spellEnd"/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71117" w14:textId="03E40C2B" w:rsidR="009D1F7F" w:rsidRPr="00F25917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Концентрат для приготовления раствора для инфузий, 12,5 мг/50 мл, 50 мл, №1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75F0B" w14:textId="1EB1D778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611F8" w14:textId="27A3EBA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C4349" w14:textId="5693AC4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46 487,43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E52D1" w14:textId="7A44CE0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464 874,30</w:t>
            </w:r>
          </w:p>
        </w:tc>
      </w:tr>
      <w:tr w:rsidR="009D1F7F" w:rsidRPr="005D0C8B" w14:paraId="03770A29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9AD69" w14:textId="650C6ADF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E7487" w14:textId="29631EDA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Уголь активированный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941A6" w14:textId="5EB384FE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таблетка 250мг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858A5" w14:textId="3CA098C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D7586" w14:textId="78126AB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28FBE" w14:textId="759455C0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5,87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11B73" w14:textId="56AAA95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146 750,00</w:t>
            </w:r>
          </w:p>
        </w:tc>
      </w:tr>
      <w:tr w:rsidR="009D1F7F" w:rsidRPr="005D0C8B" w14:paraId="3FB0E5ED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C5309" w14:textId="721AD396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A243D" w14:textId="5AA364F7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Урапидил</w:t>
            </w:r>
            <w:proofErr w:type="spellEnd"/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CF2D5" w14:textId="2801E708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5мг/мл 10,0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C9179" w14:textId="6C2FAC3F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659C5B" w14:textId="7BEFE2D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C4140" w14:textId="3CDD8EE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1 122,89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00732" w14:textId="1ABFC3B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5 053 005,00</w:t>
            </w:r>
          </w:p>
        </w:tc>
      </w:tr>
      <w:tr w:rsidR="009D1F7F" w:rsidRPr="005D0C8B" w14:paraId="44BFB653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1E53A" w14:textId="0AFDD26F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3BE02" w14:textId="4965346B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Фамотидин</w:t>
            </w:r>
            <w:proofErr w:type="spellEnd"/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D27B3" w14:textId="6C08E0D1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Порошок для приготовления раствора 20мг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98B0C1" w14:textId="49C49CEC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C1B4D4" w14:textId="16C4E83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30541" w14:textId="1B0D880F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363,85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D5917" w14:textId="7129678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2 365 025,00</w:t>
            </w:r>
          </w:p>
        </w:tc>
      </w:tr>
      <w:tr w:rsidR="009D1F7F" w:rsidRPr="005D0C8B" w14:paraId="3D876196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99E4C" w14:textId="047199E1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AB461" w14:textId="4A98BACC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Фитоменадион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6E738" w14:textId="2BA593A2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иньекций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10мкг/мл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14475" w14:textId="5C74F20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C12BF" w14:textId="0D7667BE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02805DA" w14:textId="12768C0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132,74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53537" w14:textId="68E70EF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730 070,00</w:t>
            </w:r>
          </w:p>
        </w:tc>
      </w:tr>
      <w:tr w:rsidR="009D1F7F" w:rsidRPr="005D0C8B" w14:paraId="3F4ABDE0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E6EA" w14:textId="60E030D1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897061" w14:textId="6042FA5A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Цефоперазон</w:t>
            </w:r>
            <w:proofErr w:type="spell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сульбактам</w:t>
            </w:r>
            <w:proofErr w:type="spellEnd"/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91D1F" w14:textId="0A1D824D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Порошок для приготовления раствора 1гр/1гр 2 </w:t>
            </w: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EE69B" w14:textId="0335B71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71B8EE" w14:textId="3EBE421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FD0363D" w14:textId="23F9C6BF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3 122,62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D8957" w14:textId="404A50D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5 308 454,00</w:t>
            </w:r>
          </w:p>
        </w:tc>
      </w:tr>
      <w:tr w:rsidR="009D1F7F" w:rsidRPr="005D0C8B" w14:paraId="72263D4B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EBC72" w14:textId="6BCB62D9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029A5" w14:textId="048B2B29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 xml:space="preserve">Ципрофлоксацин 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A7CAD" w14:textId="291C6C49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глазные капли 0,3</w:t>
            </w:r>
            <w:proofErr w:type="gram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%  5</w:t>
            </w:r>
            <w:proofErr w:type="gramEnd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DDB9B" w14:textId="7E0B7468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E8C39" w14:textId="187DBE1B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D46220D" w14:textId="2AF2E34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1 766,84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5212B" w14:textId="43051F76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176 684,00</w:t>
            </w:r>
          </w:p>
        </w:tc>
      </w:tr>
      <w:tr w:rsidR="009D1F7F" w:rsidRPr="005D0C8B" w14:paraId="5658FE8B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57051" w14:textId="78A90C3D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2B26F" w14:textId="6A037CEA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Эторикоксиб</w:t>
            </w:r>
            <w:proofErr w:type="spellEnd"/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43274" w14:textId="4272FBB8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таблетка 90мг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055B9" w14:textId="3694CC75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55BEB" w14:textId="05746F23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A242BAC" w14:textId="5ED841E4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228,79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C5582" w14:textId="2964C02A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44 842,84</w:t>
            </w:r>
          </w:p>
        </w:tc>
      </w:tr>
      <w:tr w:rsidR="009D1F7F" w:rsidRPr="005D0C8B" w14:paraId="68B5F3C7" w14:textId="77777777" w:rsidTr="001274A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B9949" w14:textId="286884FF" w:rsidR="009D1F7F" w:rsidRDefault="009D1F7F" w:rsidP="009D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44DAD" w14:textId="22DBFF9E" w:rsidR="009D1F7F" w:rsidRPr="009D1F7F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Эторикоксиб</w:t>
            </w:r>
            <w:proofErr w:type="spellEnd"/>
          </w:p>
        </w:tc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4BC9E" w14:textId="502F9B75" w:rsidR="009D1F7F" w:rsidRPr="009D1F7F" w:rsidRDefault="009D1F7F" w:rsidP="009D1F7F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таблетка 60мг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4B9EA" w14:textId="192CDA29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D088C" w14:textId="68BA14A2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C4DA1B9" w14:textId="45B67E77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268,46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21F42" w14:textId="051E7F7D" w:rsidR="009D1F7F" w:rsidRPr="009D1F7F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1F7F">
              <w:rPr>
                <w:rFonts w:ascii="Times New Roman" w:hAnsi="Times New Roman" w:cs="Times New Roman"/>
                <w:sz w:val="18"/>
                <w:szCs w:val="18"/>
              </w:rPr>
              <w:t>52 618,16</w:t>
            </w:r>
          </w:p>
        </w:tc>
      </w:tr>
      <w:tr w:rsidR="009D1F7F" w:rsidRPr="00A05EDB" w14:paraId="7EF66D81" w14:textId="77777777" w:rsidTr="009D1F7F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1A6638E3" w:rsidR="009D1F7F" w:rsidRPr="00A05EDB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9D1F7F" w:rsidRPr="00962630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9D1F7F" w:rsidRPr="00962630" w:rsidRDefault="009D1F7F" w:rsidP="009D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9D1F7F" w:rsidRPr="00962630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9D1F7F" w:rsidRPr="00962630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9D1F7F" w:rsidRPr="00962630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22ED7AF0" w:rsidR="009D1F7F" w:rsidRPr="00962630" w:rsidRDefault="009D1F7F" w:rsidP="009D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45 035 865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32E3E71D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B214D">
        <w:rPr>
          <w:rFonts w:ascii="Times New Roman" w:hAnsi="Times New Roman" w:cs="Times New Roman"/>
          <w:spacing w:val="2"/>
        </w:rPr>
        <w:t xml:space="preserve">. </w:t>
      </w:r>
      <w:r w:rsidR="000B15B9">
        <w:rPr>
          <w:rFonts w:ascii="Times New Roman" w:hAnsi="Times New Roman" w:cs="Times New Roman"/>
          <w:spacing w:val="2"/>
        </w:rPr>
        <w:t>Аптека</w:t>
      </w:r>
      <w:r w:rsidR="00DE60E0">
        <w:rPr>
          <w:rFonts w:ascii="Times New Roman" w:hAnsi="Times New Roman" w:cs="Times New Roman"/>
          <w:spacing w:val="2"/>
        </w:rPr>
        <w:t>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50609CBC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0B15B9">
        <w:rPr>
          <w:rFonts w:ascii="Times New Roman" w:hAnsi="Times New Roman" w:cs="Times New Roman"/>
        </w:rPr>
        <w:t>Аптека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355D6009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B15B9">
        <w:rPr>
          <w:rFonts w:ascii="Times New Roman" w:hAnsi="Times New Roman" w:cs="Times New Roman"/>
          <w:b/>
          <w:spacing w:val="2"/>
        </w:rPr>
        <w:t xml:space="preserve">18 </w:t>
      </w:r>
      <w:r w:rsidR="005B214D">
        <w:rPr>
          <w:rFonts w:ascii="Times New Roman" w:hAnsi="Times New Roman" w:cs="Times New Roman"/>
          <w:b/>
          <w:spacing w:val="2"/>
        </w:rPr>
        <w:t>декаб</w:t>
      </w:r>
      <w:r w:rsidR="00F26CC6">
        <w:rPr>
          <w:rFonts w:ascii="Times New Roman" w:hAnsi="Times New Roman" w:cs="Times New Roman"/>
          <w:b/>
          <w:spacing w:val="2"/>
        </w:rPr>
        <w:t>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0B15B9">
        <w:rPr>
          <w:rFonts w:ascii="Times New Roman" w:hAnsi="Times New Roman" w:cs="Times New Roman"/>
          <w:b/>
          <w:spacing w:val="2"/>
        </w:rPr>
        <w:t>25</w:t>
      </w:r>
      <w:r w:rsidR="005B214D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</w:t>
      </w:r>
      <w:r w:rsidR="00F26CC6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0B15B9">
        <w:rPr>
          <w:rFonts w:ascii="Times New Roman" w:hAnsi="Times New Roman" w:cs="Times New Roman"/>
          <w:b/>
          <w:spacing w:val="2"/>
        </w:rPr>
        <w:t>25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декаб</w:t>
      </w:r>
      <w:r w:rsidR="00F26CC6">
        <w:rPr>
          <w:rFonts w:ascii="Times New Roman" w:hAnsi="Times New Roman" w:cs="Times New Roman"/>
          <w:b/>
          <w:spacing w:val="2"/>
        </w:rPr>
        <w:t>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B15B9">
        <w:rPr>
          <w:rFonts w:ascii="Times New Roman" w:hAnsi="Times New Roman" w:cs="Times New Roman"/>
          <w:b/>
          <w:spacing w:val="2"/>
        </w:rPr>
        <w:t>25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</w:t>
      </w:r>
      <w:r w:rsidR="00F26CC6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5C46E4">
        <w:rPr>
          <w:rFonts w:ascii="Times New Roman" w:hAnsi="Times New Roman" w:cs="Times New Roman"/>
        </w:rPr>
        <w:t>неиспользованность</w:t>
      </w:r>
      <w:proofErr w:type="spellEnd"/>
      <w:r w:rsidRPr="005C46E4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</w:t>
      </w:r>
      <w:r>
        <w:rPr>
          <w:rFonts w:ascii="Times New Roman" w:hAnsi="Times New Roman" w:cs="Times New Roman"/>
        </w:rPr>
        <w:t xml:space="preserve"> </w:t>
      </w:r>
      <w:r w:rsidRPr="005C46E4">
        <w:rPr>
          <w:rFonts w:ascii="Times New Roman" w:hAnsi="Times New Roman" w:cs="Times New Roman"/>
        </w:rPr>
        <w:t>Правил, подтверждаются поставщиком при исполнении договора поставки или закупа.</w:t>
      </w:r>
    </w:p>
    <w:p w14:paraId="45F216FB" w14:textId="4530E36D" w:rsidR="008570B0" w:rsidRPr="008570B0" w:rsidRDefault="00DA1179" w:rsidP="008570B0">
      <w:pPr>
        <w:pStyle w:val="a3"/>
        <w:jc w:val="both"/>
        <w:rPr>
          <w:sz w:val="22"/>
          <w:szCs w:val="22"/>
        </w:rPr>
      </w:pPr>
      <w:r>
        <w:rPr>
          <w:b/>
          <w:color w:val="000000"/>
        </w:rPr>
        <w:t>7</w:t>
      </w:r>
      <w:r w:rsidR="00CB6A8C" w:rsidRPr="00482DC8">
        <w:rPr>
          <w:b/>
          <w:color w:val="000000"/>
        </w:rPr>
        <w:t>.</w:t>
      </w:r>
      <w:r w:rsidR="00CB6A8C" w:rsidRPr="00482DC8">
        <w:rPr>
          <w:color w:val="000000"/>
        </w:rPr>
        <w:t xml:space="preserve"> </w:t>
      </w:r>
      <w:r w:rsidR="008570B0" w:rsidRPr="008570B0">
        <w:rPr>
          <w:sz w:val="22"/>
          <w:szCs w:val="22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>
        <w:rPr>
          <w:sz w:val="22"/>
          <w:szCs w:val="22"/>
        </w:rPr>
        <w:t xml:space="preserve"> </w:t>
      </w:r>
      <w:r w:rsidR="008570B0" w:rsidRPr="008570B0">
        <w:rPr>
          <w:sz w:val="22"/>
          <w:szCs w:val="22"/>
        </w:rPr>
        <w:t>Правил.</w:t>
      </w:r>
    </w:p>
    <w:p w14:paraId="7368771E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8570B0" w:rsidRDefault="00D841E4" w:rsidP="008570B0">
      <w:pPr>
        <w:pStyle w:val="a3"/>
        <w:jc w:val="both"/>
        <w:rPr>
          <w:sz w:val="22"/>
          <w:szCs w:val="22"/>
        </w:rPr>
      </w:pPr>
      <w:r w:rsidRPr="00482DC8">
        <w:rPr>
          <w:b/>
          <w:color w:val="000000"/>
        </w:rPr>
        <w:t xml:space="preserve">            11.</w:t>
      </w:r>
      <w:r w:rsidRPr="00482DC8">
        <w:rPr>
          <w:color w:val="000000"/>
        </w:rPr>
        <w:t xml:space="preserve"> </w:t>
      </w:r>
      <w:r w:rsidR="008570B0" w:rsidRPr="008570B0">
        <w:rPr>
          <w:rStyle w:val="a9"/>
          <w:sz w:val="22"/>
          <w:szCs w:val="22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67C008E4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4D2210A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2EE4EFB8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77777777"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0DF62DC1" w:rsidR="00DE1A5E" w:rsidRDefault="00F26CC6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03C1C8" w14:textId="5BDAA572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09F4DB" w14:textId="0F036BB9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485CEB" w14:textId="20216C81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4C4F21" w14:textId="33847CA8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AF006F" w14:textId="77777777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2DE501" w14:textId="7777777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B73EEA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F571E5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F17FC9" w14:textId="40A5749E" w:rsidR="00285EF1" w:rsidRDefault="00285EF1" w:rsidP="005231F1">
      <w:pPr>
        <w:pStyle w:val="a3"/>
        <w:jc w:val="right"/>
        <w:rPr>
          <w:sz w:val="18"/>
          <w:szCs w:val="18"/>
        </w:rPr>
      </w:pPr>
    </w:p>
    <w:p w14:paraId="26779E80" w14:textId="56086AD1" w:rsidR="006B6F84" w:rsidRDefault="006B6F84" w:rsidP="005231F1">
      <w:pPr>
        <w:pStyle w:val="a3"/>
        <w:jc w:val="right"/>
        <w:rPr>
          <w:sz w:val="18"/>
          <w:szCs w:val="18"/>
        </w:rPr>
      </w:pPr>
    </w:p>
    <w:p w14:paraId="7F8DB6F1" w14:textId="7AB0377B" w:rsidR="006B6F84" w:rsidRDefault="006B6F84" w:rsidP="005231F1">
      <w:pPr>
        <w:pStyle w:val="a3"/>
        <w:jc w:val="right"/>
        <w:rPr>
          <w:sz w:val="18"/>
          <w:szCs w:val="18"/>
        </w:rPr>
      </w:pPr>
    </w:p>
    <w:p w14:paraId="554D544E" w14:textId="77777777" w:rsidR="006B6F84" w:rsidRDefault="006B6F84" w:rsidP="005231F1">
      <w:pPr>
        <w:pStyle w:val="a3"/>
        <w:jc w:val="right"/>
        <w:rPr>
          <w:sz w:val="18"/>
          <w:szCs w:val="18"/>
        </w:rPr>
      </w:pPr>
      <w:bookmarkStart w:id="1" w:name="_GoBack"/>
      <w:bookmarkEnd w:id="1"/>
    </w:p>
    <w:p w14:paraId="20B7D3A6" w14:textId="0E34BADE" w:rsidR="00AD7F3B" w:rsidRPr="00170717" w:rsidRDefault="00AD7F3B" w:rsidP="005231F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>
              <w:rPr>
                <w:b/>
                <w:sz w:val="19"/>
                <w:szCs w:val="19"/>
                <w:lang w:val="kk-KZ"/>
              </w:rPr>
              <w:t>3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7777777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>3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ГКП на ПХВ «Многопрофильная областная больница» при управлении здравоохранения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Нурлана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2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6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7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8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59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0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1"/>
            <w:bookmarkEnd w:id="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2"/>
            <w:bookmarkEnd w:id="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z263"/>
            <w:bookmarkEnd w:id="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1" w:name="z264"/>
            <w:bookmarkEnd w:id="10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z265"/>
            <w:bookmarkEnd w:id="1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3" w:name="z266"/>
            <w:bookmarkEnd w:id="12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z267"/>
            <w:bookmarkEnd w:id="1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5" w:name="z269"/>
            <w:bookmarkEnd w:id="14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z270"/>
            <w:bookmarkEnd w:id="1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7" w:name="z271"/>
            <w:bookmarkEnd w:id="16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7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8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8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9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8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79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0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1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2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3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z284"/>
            <w:bookmarkEnd w:id="2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7" w:name="z285"/>
            <w:bookmarkEnd w:id="26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6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z287"/>
            <w:bookmarkEnd w:id="2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30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30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1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8"/>
            <w:bookmarkEnd w:id="2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89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0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1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2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3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4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5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6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7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8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299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0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1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2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3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4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5"/>
            <w:bookmarkEnd w:id="4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6"/>
            <w:bookmarkEnd w:id="4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7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8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z309"/>
            <w:bookmarkEnd w:id="5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4" w:name="z310"/>
            <w:bookmarkEnd w:id="53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1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2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3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4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5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6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7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8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19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0"/>
            <w:bookmarkEnd w:id="6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1"/>
            <w:bookmarkEnd w:id="64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2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3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4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5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6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7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8"/>
            <w:bookmarkEnd w:id="7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29"/>
            <w:bookmarkEnd w:id="72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0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1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2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3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4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337"/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z534"/>
            <w:bookmarkEnd w:id="80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48.1. Все споры, возникающие в процессе исполнения договора, будут рассматриваться в специализированном межрайонном экономическом суде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области.</w:t>
            </w:r>
            <w:bookmarkEnd w:id="81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2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3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2"/>
      <w:bookmarkEnd w:id="83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167DAD9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843BA55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9502054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1F4FB00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E4E09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2D2B07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FE7F01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lastRenderedPageBreak/>
        <w:t xml:space="preserve">к типовому Договору № </w:t>
      </w:r>
    </w:p>
    <w:p w14:paraId="63F3B59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77777777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49F5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381B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70CAA"/>
    <w:rsid w:val="00470DB8"/>
    <w:rsid w:val="004722CD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0E28"/>
    <w:rsid w:val="004B2C5D"/>
    <w:rsid w:val="004B3C00"/>
    <w:rsid w:val="004B43B6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17E7"/>
    <w:rsid w:val="0058519F"/>
    <w:rsid w:val="00585BB0"/>
    <w:rsid w:val="005900B1"/>
    <w:rsid w:val="005A0705"/>
    <w:rsid w:val="005A1813"/>
    <w:rsid w:val="005A218B"/>
    <w:rsid w:val="005A5897"/>
    <w:rsid w:val="005B214D"/>
    <w:rsid w:val="005B2775"/>
    <w:rsid w:val="005B3BA4"/>
    <w:rsid w:val="005B3FCB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4E4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04FA"/>
    <w:rsid w:val="008111B8"/>
    <w:rsid w:val="0081145A"/>
    <w:rsid w:val="00811E82"/>
    <w:rsid w:val="00812D0D"/>
    <w:rsid w:val="0081378A"/>
    <w:rsid w:val="00813B58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44D1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0E8D"/>
    <w:rsid w:val="009D170B"/>
    <w:rsid w:val="009D1B24"/>
    <w:rsid w:val="009D1F7F"/>
    <w:rsid w:val="009D1FAF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03D5"/>
    <w:rsid w:val="00D2690B"/>
    <w:rsid w:val="00D33384"/>
    <w:rsid w:val="00D3421B"/>
    <w:rsid w:val="00D343D9"/>
    <w:rsid w:val="00D34FA4"/>
    <w:rsid w:val="00D37428"/>
    <w:rsid w:val="00D37BEF"/>
    <w:rsid w:val="00D414D9"/>
    <w:rsid w:val="00D42C95"/>
    <w:rsid w:val="00D47253"/>
    <w:rsid w:val="00D472CD"/>
    <w:rsid w:val="00D5355D"/>
    <w:rsid w:val="00D53A45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3902"/>
    <w:rsid w:val="00F84649"/>
    <w:rsid w:val="00F84833"/>
    <w:rsid w:val="00F859F5"/>
    <w:rsid w:val="00F91667"/>
    <w:rsid w:val="00F917A7"/>
    <w:rsid w:val="00F91FB9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FE298-43CF-4DBF-8396-721C6EF9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6503</TotalTime>
  <Pages>18</Pages>
  <Words>10350</Words>
  <Characters>59001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809</cp:revision>
  <cp:lastPrinted>2023-12-04T09:58:00Z</cp:lastPrinted>
  <dcterms:created xsi:type="dcterms:W3CDTF">2017-02-20T06:30:00Z</dcterms:created>
  <dcterms:modified xsi:type="dcterms:W3CDTF">2023-12-15T03:10:00Z</dcterms:modified>
</cp:coreProperties>
</file>