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:rsidR="009B4EEE" w:rsidRPr="0013245A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B6244E">
        <w:rPr>
          <w:sz w:val="28"/>
          <w:szCs w:val="28"/>
        </w:rPr>
        <w:t>2</w:t>
      </w:r>
      <w:r w:rsidR="00F961C7">
        <w:rPr>
          <w:sz w:val="28"/>
          <w:szCs w:val="28"/>
        </w:rPr>
        <w:t>2</w:t>
      </w:r>
    </w:p>
    <w:p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F961C7">
        <w:rPr>
          <w:sz w:val="24"/>
          <w:szCs w:val="24"/>
        </w:rPr>
        <w:t>23</w:t>
      </w:r>
      <w:r w:rsidR="008D33CA">
        <w:rPr>
          <w:sz w:val="24"/>
          <w:szCs w:val="24"/>
        </w:rPr>
        <w:t xml:space="preserve"> </w:t>
      </w:r>
      <w:r w:rsidR="00197FE9">
        <w:rPr>
          <w:sz w:val="24"/>
          <w:szCs w:val="24"/>
        </w:rPr>
        <w:t>июня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 для закупок</w:t>
            </w:r>
          </w:p>
        </w:tc>
      </w:tr>
      <w:tr w:rsidR="000A4185" w:rsidRPr="00B35BD1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244E" w:rsidRPr="005D0C8B" w:rsidTr="00F961C7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D33384" w:rsidRDefault="00D33384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Стерофундин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244E" w:rsidRPr="00B6244E" w:rsidRDefault="00D33384" w:rsidP="00B6244E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B6244E" w:rsidRDefault="00D33384" w:rsidP="00D3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1 217,59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B6244E" w:rsidRDefault="00E61408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121 759</w:t>
            </w:r>
          </w:p>
        </w:tc>
      </w:tr>
      <w:tr w:rsidR="00F961C7" w:rsidRPr="005D0C8B" w:rsidTr="00F961C7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A05EDB" w:rsidRDefault="00F961C7" w:rsidP="00B62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D33384" w:rsidRDefault="00D33384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Бупивакаин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Спинал</w:t>
            </w:r>
            <w:proofErr w:type="spellEnd"/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61C7" w:rsidRPr="00B6244E" w:rsidRDefault="00D33384" w:rsidP="00B6244E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5 мг/мл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813,40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E61408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162 680</w:t>
            </w:r>
          </w:p>
        </w:tc>
      </w:tr>
      <w:tr w:rsidR="00F961C7" w:rsidRPr="005D0C8B" w:rsidTr="00F961C7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A05EDB" w:rsidRDefault="00F961C7" w:rsidP="00B62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D33384" w:rsidRDefault="00D33384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Сорбилакт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61C7" w:rsidRPr="00B6244E" w:rsidRDefault="00D33384" w:rsidP="00B6244E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5 389,03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E61408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538 903</w:t>
            </w:r>
          </w:p>
        </w:tc>
      </w:tr>
      <w:tr w:rsidR="00F961C7" w:rsidRPr="005D0C8B" w:rsidTr="00F961C7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A05EDB" w:rsidRDefault="00F961C7" w:rsidP="00B62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D33384" w:rsidRDefault="00D33384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Сорбилакт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61C7" w:rsidRPr="00B6244E" w:rsidRDefault="00D33384" w:rsidP="00B6244E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7 289,96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E61408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728 996</w:t>
            </w:r>
          </w:p>
        </w:tc>
      </w:tr>
      <w:tr w:rsidR="00F961C7" w:rsidRPr="005D0C8B" w:rsidTr="00F961C7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A05EDB" w:rsidRDefault="00F961C7" w:rsidP="00B62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D33384" w:rsidRDefault="00D33384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Ксилат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61C7" w:rsidRPr="00B6244E" w:rsidRDefault="00D33384" w:rsidP="00B6244E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D3338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5 537,12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C7" w:rsidRPr="00B6244E" w:rsidRDefault="00E61408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276 856</w:t>
            </w:r>
          </w:p>
        </w:tc>
      </w:tr>
      <w:tr w:rsidR="00B6244E" w:rsidRPr="00A05EDB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A05EDB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A05EDB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44E" w:rsidRPr="00A05EDB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244E" w:rsidRPr="006D7611" w:rsidRDefault="00E61408" w:rsidP="00E6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1 829 194</w:t>
            </w:r>
          </w:p>
        </w:tc>
      </w:tr>
    </w:tbl>
    <w:p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В</w:t>
      </w:r>
      <w:r w:rsidR="00701B65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F961C7">
        <w:rPr>
          <w:rFonts w:ascii="Times New Roman" w:hAnsi="Times New Roman" w:cs="Times New Roman"/>
          <w:b/>
          <w:spacing w:val="2"/>
        </w:rPr>
        <w:t>24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7D44ED">
        <w:rPr>
          <w:rFonts w:ascii="Times New Roman" w:hAnsi="Times New Roman" w:cs="Times New Roman"/>
          <w:b/>
          <w:spacing w:val="2"/>
        </w:rPr>
        <w:t>июня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7D44ED">
        <w:rPr>
          <w:rFonts w:ascii="Times New Roman" w:hAnsi="Times New Roman" w:cs="Times New Roman"/>
          <w:b/>
          <w:spacing w:val="2"/>
        </w:rPr>
        <w:t>1</w:t>
      </w:r>
      <w:r w:rsidR="0010109D">
        <w:rPr>
          <w:rFonts w:ascii="Times New Roman" w:hAnsi="Times New Roman" w:cs="Times New Roman"/>
          <w:b/>
          <w:spacing w:val="2"/>
        </w:rPr>
        <w:t xml:space="preserve"> </w:t>
      </w:r>
      <w:r w:rsidR="00F961C7">
        <w:rPr>
          <w:rFonts w:ascii="Times New Roman" w:hAnsi="Times New Roman" w:cs="Times New Roman"/>
          <w:b/>
          <w:spacing w:val="2"/>
        </w:rPr>
        <w:t>июл</w:t>
      </w:r>
      <w:r w:rsidR="007D44ED">
        <w:rPr>
          <w:rFonts w:ascii="Times New Roman" w:hAnsi="Times New Roman" w:cs="Times New Roman"/>
          <w:b/>
          <w:spacing w:val="2"/>
        </w:rPr>
        <w:t>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F961C7">
        <w:rPr>
          <w:rFonts w:ascii="Times New Roman" w:hAnsi="Times New Roman" w:cs="Times New Roman"/>
          <w:b/>
          <w:spacing w:val="2"/>
        </w:rPr>
        <w:t>1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7D44ED">
        <w:rPr>
          <w:rFonts w:ascii="Times New Roman" w:hAnsi="Times New Roman" w:cs="Times New Roman"/>
          <w:b/>
          <w:spacing w:val="2"/>
          <w:lang w:val="kk-KZ"/>
        </w:rPr>
        <w:t>ию</w:t>
      </w:r>
      <w:r w:rsidR="00F961C7">
        <w:rPr>
          <w:rFonts w:ascii="Times New Roman" w:hAnsi="Times New Roman" w:cs="Times New Roman"/>
          <w:b/>
          <w:spacing w:val="2"/>
          <w:lang w:val="kk-KZ"/>
        </w:rPr>
        <w:t>л</w:t>
      </w:r>
      <w:r w:rsidR="007D44ED">
        <w:rPr>
          <w:rFonts w:ascii="Times New Roman" w:hAnsi="Times New Roman" w:cs="Times New Roman"/>
          <w:b/>
          <w:spacing w:val="2"/>
          <w:lang w:val="kk-KZ"/>
        </w:rPr>
        <w:t>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7D44ED">
        <w:rPr>
          <w:rFonts w:ascii="Times New Roman" w:hAnsi="Times New Roman" w:cs="Times New Roman"/>
          <w:b/>
          <w:spacing w:val="2"/>
        </w:rPr>
        <w:t>1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7D44ED">
        <w:rPr>
          <w:rFonts w:ascii="Times New Roman" w:hAnsi="Times New Roman" w:cs="Times New Roman"/>
          <w:b/>
          <w:spacing w:val="2"/>
          <w:lang w:val="kk-KZ"/>
        </w:rPr>
        <w:t>ию</w:t>
      </w:r>
      <w:r w:rsidR="00F961C7">
        <w:rPr>
          <w:rFonts w:ascii="Times New Roman" w:hAnsi="Times New Roman" w:cs="Times New Roman"/>
          <w:b/>
          <w:spacing w:val="2"/>
          <w:lang w:val="kk-KZ"/>
        </w:rPr>
        <w:t>л</w:t>
      </w:r>
      <w:r w:rsidR="007D44ED">
        <w:rPr>
          <w:rFonts w:ascii="Times New Roman" w:hAnsi="Times New Roman" w:cs="Times New Roman"/>
          <w:b/>
          <w:spacing w:val="2"/>
          <w:lang w:val="kk-KZ"/>
        </w:rPr>
        <w:t>я</w:t>
      </w:r>
      <w:bookmarkStart w:id="1" w:name="_GoBack"/>
      <w:bookmarkEnd w:id="1"/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</w:t>
      </w:r>
      <w:proofErr w:type="gramStart"/>
      <w:r w:rsidRPr="00D87221">
        <w:rPr>
          <w:rFonts w:ascii="Times New Roman" w:hAnsi="Times New Roman" w:cs="Times New Roman"/>
          <w:spacing w:val="2"/>
        </w:rPr>
        <w:t>г</w:t>
      </w:r>
      <w:proofErr w:type="gramEnd"/>
      <w:r w:rsidRPr="00D87221">
        <w:rPr>
          <w:rFonts w:ascii="Times New Roman" w:hAnsi="Times New Roman" w:cs="Times New Roman"/>
          <w:spacing w:val="2"/>
        </w:rPr>
        <w:t xml:space="preserve">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2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2"/>
    <w:p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D80D49" w:rsidRPr="00D80D49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E1A5E" w:rsidRPr="00482DC8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E1A5E" w:rsidRDefault="00701B6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auto"/>
        <w:tblLook w:val="04A0"/>
      </w:tblPr>
      <w:tblGrid>
        <w:gridCol w:w="7780"/>
        <w:gridCol w:w="4600"/>
      </w:tblGrid>
      <w:tr w:rsidR="00D42C95" w:rsidRPr="00205183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/>
      </w:tblPr>
      <w:tblGrid>
        <w:gridCol w:w="7780"/>
        <w:gridCol w:w="4600"/>
      </w:tblGrid>
      <w:tr w:rsidR="00D42C95" w:rsidRPr="001E49BB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034"/>
        <w:gridCol w:w="9356"/>
        <w:gridCol w:w="4100"/>
      </w:tblGrid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4B0596" w:rsidRDefault="004B0596" w:rsidP="00D42C95">
      <w:pPr>
        <w:spacing w:after="0"/>
        <w:rPr>
          <w:sz w:val="20"/>
          <w:szCs w:val="20"/>
        </w:rPr>
      </w:pPr>
    </w:p>
    <w:p w:rsidR="004B0596" w:rsidRDefault="004B0596" w:rsidP="00D42C95">
      <w:pPr>
        <w:spacing w:after="0"/>
        <w:rPr>
          <w:sz w:val="20"/>
          <w:szCs w:val="20"/>
        </w:rPr>
      </w:pPr>
    </w:p>
    <w:p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/>
      </w:tblPr>
      <w:tblGrid>
        <w:gridCol w:w="7780"/>
        <w:gridCol w:w="4600"/>
      </w:tblGrid>
      <w:tr w:rsidR="00EF7AAA" w:rsidRPr="00205183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/>
      </w:tblPr>
      <w:tblGrid>
        <w:gridCol w:w="7780"/>
        <w:gridCol w:w="4600"/>
      </w:tblGrid>
      <w:tr w:rsidR="00EF7AAA" w:rsidRPr="001E49BB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EF7AAA" w:rsidRPr="001E49BB" w:rsidTr="00D03CB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уполномоченного лица с одной стороны,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lastRenderedPageBreak/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</w:t>
      </w:r>
      <w:proofErr w:type="gramEnd"/>
      <w:r w:rsidRPr="001E49BB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971445" w:rsidRPr="004B2C5D" w:rsidRDefault="00971445" w:rsidP="004B2C5D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C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</w:t>
      </w:r>
      <w:r w:rsidRPr="004B2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:rsidR="004B2C5D" w:rsidRPr="004B2C5D" w:rsidRDefault="004B2C5D" w:rsidP="004B2C5D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1445" w:rsidRPr="00971445" w:rsidRDefault="00971445" w:rsidP="00971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6.2. Место поставки товара: г. Кокшетау, </w:t>
      </w:r>
      <w:r w:rsidRPr="00971445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ru-RU"/>
        </w:rPr>
        <w:t>ул</w:t>
      </w:r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971445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ru-RU"/>
        </w:rPr>
        <w:t>Р</w:t>
      </w:r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Сабатаева</w:t>
      </w:r>
      <w:proofErr w:type="spellEnd"/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1. </w:t>
      </w:r>
      <w:r w:rsidRPr="004B2C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Аптеку.</w:t>
      </w:r>
    </w:p>
    <w:p w:rsidR="00971445" w:rsidRDefault="00971445" w:rsidP="00EF7AAA">
      <w:pPr>
        <w:spacing w:after="0"/>
        <w:jc w:val="both"/>
        <w:rPr>
          <w:color w:val="000000"/>
          <w:sz w:val="20"/>
          <w:szCs w:val="20"/>
        </w:rPr>
      </w:pP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Заказчика  проводится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lastRenderedPageBreak/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lastRenderedPageBreak/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lastRenderedPageBreak/>
        <w:t xml:space="preserve"> 8. Заключительные положения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EF7AAA" w:rsidRPr="001E49BB" w:rsidTr="00D03C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Телефон, 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e-mail</w:t>
            </w:r>
            <w:proofErr w:type="spellEnd"/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Телефон, 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e-mail</w:t>
            </w:r>
            <w:proofErr w:type="spellEnd"/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/>
      </w:tblPr>
      <w:tblGrid>
        <w:gridCol w:w="7780"/>
        <w:gridCol w:w="4600"/>
      </w:tblGrid>
      <w:tr w:rsidR="00B447E7" w:rsidRPr="00B447E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C1613F" w:rsidP="00CD1B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2C5D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44ED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5153"/>
    <w:rsid w:val="00965BFC"/>
    <w:rsid w:val="00965EA4"/>
    <w:rsid w:val="00970DBE"/>
    <w:rsid w:val="00971445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3384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E1F"/>
    <w:rsid w:val="00E3266C"/>
    <w:rsid w:val="00E34779"/>
    <w:rsid w:val="00E37B2F"/>
    <w:rsid w:val="00E546FC"/>
    <w:rsid w:val="00E55784"/>
    <w:rsid w:val="00E562B6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E4162-E079-4900-8B7A-C9320DD6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5848</TotalTime>
  <Pages>12</Pages>
  <Words>5517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718</cp:revision>
  <cp:lastPrinted>2023-05-22T04:59:00Z</cp:lastPrinted>
  <dcterms:created xsi:type="dcterms:W3CDTF">2017-02-20T06:30:00Z</dcterms:created>
  <dcterms:modified xsi:type="dcterms:W3CDTF">2023-06-30T10:26:00Z</dcterms:modified>
</cp:coreProperties>
</file>