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F2B25" w14:textId="45BADA0E" w:rsidR="005E22C7" w:rsidRPr="00BF3833" w:rsidRDefault="00BF3833" w:rsidP="00BF3833">
      <w:pPr>
        <w:ind w:left="1416"/>
        <w:jc w:val="right"/>
        <w:rPr>
          <w:i/>
        </w:rPr>
      </w:pPr>
      <w:r w:rsidRPr="00BF3833">
        <w:rPr>
          <w:i/>
        </w:rPr>
        <w:t xml:space="preserve">Приложение </w:t>
      </w:r>
      <w:r w:rsidR="00F7730C">
        <w:rPr>
          <w:i/>
        </w:rPr>
        <w:t>1</w:t>
      </w:r>
    </w:p>
    <w:p w14:paraId="08671B5D" w14:textId="77777777" w:rsidR="005E22C7" w:rsidRDefault="005E22C7" w:rsidP="005E22C7">
      <w:pPr>
        <w:ind w:left="708"/>
        <w:jc w:val="center"/>
        <w:rPr>
          <w:b/>
        </w:rPr>
      </w:pPr>
    </w:p>
    <w:p w14:paraId="27FB5B15" w14:textId="77777777" w:rsidR="005E22C7" w:rsidRDefault="005E22C7" w:rsidP="007B6BEC">
      <w:pPr>
        <w:ind w:left="709"/>
        <w:jc w:val="center"/>
        <w:rPr>
          <w:b/>
        </w:rPr>
      </w:pPr>
    </w:p>
    <w:p w14:paraId="70E1FE48" w14:textId="48E011D3" w:rsidR="007B6BEC" w:rsidRDefault="00163997" w:rsidP="007B6BEC">
      <w:pPr>
        <w:ind w:left="709"/>
        <w:jc w:val="center"/>
        <w:rPr>
          <w:b/>
        </w:rPr>
      </w:pPr>
      <w:r>
        <w:rPr>
          <w:b/>
        </w:rPr>
        <w:t>Техническая спецификация</w:t>
      </w:r>
      <w:r w:rsidR="00F7730C">
        <w:rPr>
          <w:b/>
        </w:rPr>
        <w:t xml:space="preserve"> по Лоту № 8</w:t>
      </w:r>
    </w:p>
    <w:p w14:paraId="28E4FF34" w14:textId="77777777" w:rsidR="007B6BEC" w:rsidRDefault="007B6BEC" w:rsidP="007B6BEC">
      <w:pPr>
        <w:ind w:left="709"/>
        <w:jc w:val="center"/>
        <w:rPr>
          <w:b/>
        </w:rPr>
      </w:pPr>
    </w:p>
    <w:tbl>
      <w:tblPr>
        <w:tblW w:w="145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3256"/>
        <w:gridCol w:w="500"/>
        <w:gridCol w:w="2282"/>
        <w:gridCol w:w="6640"/>
        <w:gridCol w:w="1418"/>
      </w:tblGrid>
      <w:tr w:rsidR="007B6BEC" w14:paraId="1F296675" w14:textId="77777777" w:rsidTr="00D86A5B">
        <w:trPr>
          <w:trHeight w:val="39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41F28DB" w14:textId="77777777" w:rsidR="007B6BEC" w:rsidRDefault="007B6BEC">
            <w:pPr>
              <w:spacing w:line="256" w:lineRule="auto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A6F57E3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Критерии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C8B82E5" w14:textId="77777777" w:rsidR="007B6BEC" w:rsidRDefault="007B6BEC">
            <w:pPr>
              <w:spacing w:line="256" w:lineRule="auto"/>
              <w:ind w:left="709"/>
              <w:jc w:val="center"/>
              <w:textAlignment w:val="baseline"/>
              <w:outlineLvl w:val="2"/>
              <w:rPr>
                <w:color w:val="1E1E1E"/>
              </w:rPr>
            </w:pPr>
            <w:r>
              <w:rPr>
                <w:color w:val="1E1E1E"/>
              </w:rPr>
              <w:t>Описание</w:t>
            </w:r>
          </w:p>
        </w:tc>
      </w:tr>
      <w:tr w:rsidR="007B6BEC" w14:paraId="1BB5FE3E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4C5320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1DA415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медицинской техники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C689C" w14:textId="77777777" w:rsidR="007B6BEC" w:rsidRDefault="00914FBC" w:rsidP="00796AF4">
            <w:pPr>
              <w:tabs>
                <w:tab w:val="left" w:pos="450"/>
              </w:tabs>
              <w:snapToGrid w:val="0"/>
              <w:rPr>
                <w:b/>
                <w:color w:val="000000"/>
              </w:rPr>
            </w:pPr>
            <w:r w:rsidRPr="00163997">
              <w:rPr>
                <w:color w:val="000000"/>
              </w:rPr>
              <w:t>Светильник хирургический светодиодный</w:t>
            </w:r>
            <w:r w:rsidR="00D86A5B" w:rsidRPr="009D707E">
              <w:t xml:space="preserve"> </w:t>
            </w:r>
            <w:proofErr w:type="spellStart"/>
            <w:r w:rsidR="00D86A5B" w:rsidRPr="009D707E">
              <w:t>двухкупольный</w:t>
            </w:r>
            <w:proofErr w:type="spellEnd"/>
          </w:p>
        </w:tc>
      </w:tr>
      <w:tr w:rsidR="007B41D0" w14:paraId="3D7CB656" w14:textId="77777777" w:rsidTr="007B6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E754A2" w14:textId="77777777" w:rsidR="00991204" w:rsidRDefault="00991204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</w:p>
          <w:p w14:paraId="58A6A8F6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ACC49B" w14:textId="77777777" w:rsidR="007B6BEC" w:rsidRDefault="007B6BE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комплектации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FF1C9D" w14:textId="77777777" w:rsidR="007B6BEC" w:rsidRDefault="007B6BEC">
            <w:pPr>
              <w:spacing w:line="256" w:lineRule="auto"/>
              <w:ind w:left="-3" w:firstLine="52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F9969E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Наименование комплектующего к медицинской технике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13EE3D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74E89" w14:textId="77777777" w:rsidR="007B6BEC" w:rsidRDefault="007B6BE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Требуемое количество</w:t>
            </w:r>
            <w:r>
              <w:rPr>
                <w:color w:val="000000"/>
                <w:spacing w:val="2"/>
              </w:rPr>
              <w:br/>
              <w:t>(с указанием единицы измерения)</w:t>
            </w:r>
          </w:p>
        </w:tc>
      </w:tr>
      <w:tr w:rsidR="007B6BEC" w14:paraId="71D7ABC8" w14:textId="77777777" w:rsidTr="00D86A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6BCF8A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05DA37" w14:textId="77777777" w:rsidR="007B6BEC" w:rsidRDefault="007B6BEC">
            <w:pPr>
              <w:rPr>
                <w:color w:val="000000"/>
                <w:spacing w:val="2"/>
              </w:rPr>
            </w:pP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915E33" w14:textId="77777777" w:rsidR="007B6BEC" w:rsidRDefault="007B6BEC">
            <w:pPr>
              <w:spacing w:line="256" w:lineRule="auto"/>
              <w:ind w:left="709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Основные комплектующие</w:t>
            </w:r>
          </w:p>
        </w:tc>
      </w:tr>
      <w:tr w:rsidR="00914FBC" w14:paraId="2F6E54AA" w14:textId="77777777" w:rsidTr="004F4F0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E60F04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DAF3EF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CCC575" w14:textId="77777777" w:rsidR="00914FBC" w:rsidRDefault="00914FBC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BFE4BB" w14:textId="77777777" w:rsidR="00914FBC" w:rsidRPr="00BF3833" w:rsidRDefault="00D86A5B" w:rsidP="00C37B97">
            <w:r w:rsidRPr="00163997">
              <w:rPr>
                <w:color w:val="000000"/>
              </w:rPr>
              <w:t>Светильник хирургический светодиодный</w:t>
            </w:r>
            <w:r w:rsidRPr="009D707E">
              <w:t xml:space="preserve"> </w:t>
            </w:r>
            <w:proofErr w:type="spellStart"/>
            <w:r w:rsidRPr="009D707E">
              <w:t>двухкупольный</w:t>
            </w:r>
            <w:proofErr w:type="spellEnd"/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B6C1DC" w14:textId="77777777" w:rsidR="00914FBC" w:rsidRPr="00BF3833" w:rsidRDefault="00914FBC" w:rsidP="00FA1A4C">
            <w:r w:rsidRPr="001F4F2C">
              <w:t xml:space="preserve">Область применения: Предназначен для освещения операционного поля при хирургических, гинекологических операциях, диагностических исследованиях и осмотрах. </w:t>
            </w:r>
            <w:r w:rsidRPr="00BF3833">
              <w:t>Возможность вращения рукавов светильника в</w:t>
            </w:r>
            <w:r w:rsidR="00FA1A4C" w:rsidRPr="00BF3833">
              <w:t xml:space="preserve"> 2-х соединениях не менее 360° </w:t>
            </w:r>
            <w:r w:rsidRPr="00BF3833">
              <w:t xml:space="preserve">. Угол подъема держателя купола, не менее </w:t>
            </w:r>
            <w:r w:rsidRPr="001F4F2C">
              <w:t xml:space="preserve">45°. </w:t>
            </w:r>
            <w:r w:rsidRPr="00BF3833">
              <w:t xml:space="preserve">Угол опускания держателя купола, не менее </w:t>
            </w:r>
            <w:r w:rsidRPr="001F4F2C">
              <w:t xml:space="preserve">45°. </w:t>
            </w:r>
            <w:r w:rsidRPr="00BF3833">
              <w:t xml:space="preserve">Потолочное крепление. Требования к основному куполу светильника: </w:t>
            </w:r>
            <w:r w:rsidRPr="001F4F2C">
              <w:t xml:space="preserve">Форма купола – </w:t>
            </w:r>
            <w:r>
              <w:t>к</w:t>
            </w:r>
            <w:r w:rsidRPr="001F4F2C">
              <w:t xml:space="preserve">руглая. Центральная рукоятка для позиционирования светильника. Центральная рукоятка съемная стерилизуемая. Кнопки управления светильником на куполе. </w:t>
            </w:r>
            <w:r w:rsidRPr="00BF3833">
              <w:t xml:space="preserve">Источник света – светодиоды. </w:t>
            </w:r>
            <w:r w:rsidRPr="001F4F2C">
              <w:t xml:space="preserve">Срок службы LED ламп, не менее </w:t>
            </w:r>
            <w:r>
              <w:t>59</w:t>
            </w:r>
            <w:r w:rsidRPr="001F4F2C">
              <w:t> </w:t>
            </w:r>
            <w:r>
              <w:t>999</w:t>
            </w:r>
            <w:r w:rsidRPr="001F4F2C">
              <w:t xml:space="preserve"> часов. </w:t>
            </w:r>
            <w:r w:rsidRPr="00BF3833">
              <w:t xml:space="preserve">Характеристики освещения купола светильника: </w:t>
            </w:r>
            <w:r w:rsidRPr="001F4F2C">
              <w:t>Центральная освещенность на расстоянии 1 м. от светильника, не менее 150 000 Люкс. Диаметр светового поля (d10), не менее 220 мм. Глубина освещённости (20%), не менее 1200 мм. Глубина освещённости (60%</w:t>
            </w:r>
            <w:r w:rsidRPr="00BF3833">
              <w:rPr>
                <w:rFonts w:hint="eastAsia"/>
              </w:rPr>
              <w:t>)</w:t>
            </w:r>
            <w:r w:rsidRPr="001F4F2C">
              <w:t>, не менее 600мм. Цветовая температура, не менее 4350 К. Индекс цветопередачи (</w:t>
            </w:r>
            <w:proofErr w:type="spellStart"/>
            <w:r w:rsidRPr="001F4F2C">
              <w:t>Ra</w:t>
            </w:r>
            <w:proofErr w:type="spellEnd"/>
            <w:r w:rsidRPr="001F4F2C">
              <w:t xml:space="preserve">), не менее 96. </w:t>
            </w:r>
            <w:r w:rsidRPr="001F4F2C">
              <w:lastRenderedPageBreak/>
              <w:t xml:space="preserve">Индекс цветопередачи (R9), не менее 96. Диапазон регулировки яркости, не менее 5-100%. Кол-во уровней регулировки яркости, не менее 5. Полная облученность, не более 460 Вт/м2. Удельная облученность, не более 3,6 мВт / (м2∙лк). Остаточная освещенность с одной трубкой, не менее 100%. Остаточная освещенность с одной маской, не менее 60%. Остаточная освещенность с двумя масками, не менее 50%. Остаточная освещенность с двумя масками и трубкой, не менее 50%. </w:t>
            </w:r>
            <w:r w:rsidRPr="00BF3833">
              <w:t xml:space="preserve">Диаметр блока освещения, не менее </w:t>
            </w:r>
            <w:r w:rsidRPr="001F4F2C">
              <w:t xml:space="preserve">517 мм. </w:t>
            </w:r>
            <w:proofErr w:type="spellStart"/>
            <w:r w:rsidRPr="00BF3833">
              <w:t>Электрохарактеристики</w:t>
            </w:r>
            <w:proofErr w:type="spellEnd"/>
            <w:r w:rsidRPr="00BF3833">
              <w:t xml:space="preserve"> дополнительного (сателлитного) купола светильника: </w:t>
            </w:r>
            <w:r w:rsidRPr="001F4F2C">
              <w:t xml:space="preserve">Максимальная потребляемая мощность, не более 65 Вт. Требуемое напряжение питающей сети 220 В +/- 10 %. </w:t>
            </w:r>
            <w:r w:rsidRPr="00BF3833">
              <w:t xml:space="preserve">Механические характеристики купола светильника: Кол-во степеней вращения лампы, не менее </w:t>
            </w:r>
            <w:r w:rsidRPr="001F4F2C">
              <w:t xml:space="preserve">4. Диаметр купола, не более 540 мм. Крепление светильника – потолочное. Перемещение блока освещения по высоте, не менее 1260 мм. </w:t>
            </w:r>
            <w:r w:rsidRPr="00BF3833">
              <w:t xml:space="preserve">Масса блока освещения, не более </w:t>
            </w:r>
            <w:r w:rsidRPr="001F4F2C">
              <w:t xml:space="preserve">4,5 кг. </w:t>
            </w:r>
            <w:r w:rsidRPr="00BF3833">
              <w:t xml:space="preserve">Требования к дополнительному (сателлитному) куполу светильника: </w:t>
            </w:r>
            <w:r w:rsidRPr="001F4F2C">
              <w:t xml:space="preserve">Центральная освещенность на расстоянии 1 м. от светильника, не менее 150 000 Люкс. Диаметр светового поля (d10), не менее 220 мм. Глубина освещённости </w:t>
            </w:r>
            <w:r w:rsidRPr="00BF3833">
              <w:rPr>
                <w:rFonts w:hint="eastAsia"/>
              </w:rPr>
              <w:t>(</w:t>
            </w:r>
            <w:r w:rsidRPr="001F4F2C">
              <w:t>20%</w:t>
            </w:r>
            <w:r w:rsidRPr="00BF3833">
              <w:rPr>
                <w:rFonts w:hint="eastAsia"/>
              </w:rPr>
              <w:t>)</w:t>
            </w:r>
            <w:r w:rsidRPr="001F4F2C">
              <w:t xml:space="preserve">, не менее 1200 мм. Глубина освещённости </w:t>
            </w:r>
            <w:r w:rsidRPr="00BF3833">
              <w:rPr>
                <w:rFonts w:hint="eastAsia"/>
              </w:rPr>
              <w:t>(</w:t>
            </w:r>
            <w:r w:rsidRPr="001F4F2C">
              <w:t>60%</w:t>
            </w:r>
            <w:r w:rsidRPr="00BF3833">
              <w:rPr>
                <w:rFonts w:hint="eastAsia"/>
              </w:rPr>
              <w:t>)</w:t>
            </w:r>
            <w:r w:rsidRPr="001F4F2C">
              <w:t>, не менее 600мм. Цветовая температура, не менее 4350 К. Индекс цветопередачи (</w:t>
            </w:r>
            <w:proofErr w:type="spellStart"/>
            <w:r w:rsidRPr="001F4F2C">
              <w:t>Ra</w:t>
            </w:r>
            <w:proofErr w:type="spellEnd"/>
            <w:r w:rsidRPr="001F4F2C">
              <w:t xml:space="preserve">), не менее 96. Индекс цветопередачи (R9), не менее 96. Диапазон регулировки яркости, не менее 5-100%. Кол-во уровней регулировки яркости, не менее 5. Полная облученность, не более 460 Вт/м2. Удельная облученность, не более 3,6 мВт/(м2∙лк). Остаточная освещенность с одной трубкой, не менее 100%. Остаточная освещенность с одной маской, не менее 60%. Остаточная освещенность с двумя масками, не менее 50%. Остаточная освещенность с двумя масками и трубкой, не менее 50%. </w:t>
            </w:r>
            <w:r w:rsidRPr="00BF3833">
              <w:t xml:space="preserve">Диаметр блока освещения, не менее </w:t>
            </w:r>
            <w:r w:rsidRPr="001F4F2C">
              <w:t xml:space="preserve">517 мм. </w:t>
            </w:r>
            <w:proofErr w:type="spellStart"/>
            <w:r w:rsidRPr="00BF3833">
              <w:t>Электрохарактеристики</w:t>
            </w:r>
            <w:proofErr w:type="spellEnd"/>
            <w:r w:rsidRPr="00BF3833">
              <w:t xml:space="preserve"> дополнительного (сателлитного) купола светильника: </w:t>
            </w:r>
            <w:r w:rsidRPr="001F4F2C">
              <w:t xml:space="preserve">Срок службы LED ламп, не менее </w:t>
            </w:r>
            <w:r>
              <w:t>59</w:t>
            </w:r>
            <w:r w:rsidRPr="001F4F2C">
              <w:t> </w:t>
            </w:r>
            <w:r>
              <w:t>999</w:t>
            </w:r>
            <w:r w:rsidRPr="001F4F2C">
              <w:t xml:space="preserve"> часов. Максимальная потребляемая мощность, не более 65 Вт. Требуемое напряжение питающей сети 220 В </w:t>
            </w:r>
            <w:r w:rsidRPr="001F4F2C">
              <w:lastRenderedPageBreak/>
              <w:t xml:space="preserve">+/- 10 %. </w:t>
            </w:r>
            <w:r w:rsidRPr="00BF3833">
              <w:t xml:space="preserve">Механические характеристики дополнительного (сателлитного) купола светильника: Кол-во степеней вращения лампы, не менее </w:t>
            </w:r>
            <w:r w:rsidRPr="001F4F2C">
              <w:t xml:space="preserve">4. Диаметр купола, не более 540 мм. Крепление светильника - потолочное. Перемещение блока освещения по высоте, не менее 1260 мм. </w:t>
            </w:r>
            <w:r w:rsidRPr="00BF3833">
              <w:t xml:space="preserve">Масса блока освещения, не более </w:t>
            </w:r>
            <w:r w:rsidRPr="001F4F2C">
              <w:t>4,5 кг.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F37EC49" w14:textId="77777777" w:rsidR="00914FBC" w:rsidRDefault="00914FBC" w:rsidP="00CA4154">
            <w:pPr>
              <w:snapToGrid w:val="0"/>
            </w:pPr>
          </w:p>
          <w:p w14:paraId="4F70A4C7" w14:textId="77777777" w:rsidR="00914FBC" w:rsidRPr="00CC0E04" w:rsidRDefault="00914FBC" w:rsidP="00CA4154">
            <w:pPr>
              <w:snapToGrid w:val="0"/>
            </w:pPr>
            <w:r>
              <w:t xml:space="preserve">1 </w:t>
            </w:r>
            <w:r w:rsidR="00D86A5B" w:rsidRPr="00136E88">
              <w:t>комплект</w:t>
            </w:r>
            <w:r w:rsidR="00D86A5B" w:rsidRPr="00CC0E04">
              <w:t xml:space="preserve"> </w:t>
            </w:r>
          </w:p>
        </w:tc>
      </w:tr>
      <w:tr w:rsidR="00796AF4" w14:paraId="128ADB90" w14:textId="77777777" w:rsidTr="00D86A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B2C697" w14:textId="77777777" w:rsidR="00796AF4" w:rsidRDefault="00796AF4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79579D" w14:textId="77777777" w:rsidR="00796AF4" w:rsidRDefault="00796AF4">
            <w:pPr>
              <w:rPr>
                <w:color w:val="000000"/>
                <w:spacing w:val="2"/>
              </w:rPr>
            </w:pP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22E3D2" w14:textId="77777777" w:rsidR="00796AF4" w:rsidRPr="00CC0E04" w:rsidRDefault="00914FBC" w:rsidP="00BF3833">
            <w:r w:rsidRPr="00FE64C1">
              <w:rPr>
                <w:i/>
                <w:sz w:val="20"/>
                <w:szCs w:val="20"/>
              </w:rPr>
              <w:t>Дополнительные комплектующие</w:t>
            </w:r>
            <w:r>
              <w:rPr>
                <w:i/>
                <w:sz w:val="20"/>
                <w:szCs w:val="20"/>
              </w:rPr>
              <w:t>,</w:t>
            </w:r>
          </w:p>
        </w:tc>
      </w:tr>
      <w:tr w:rsidR="00914FBC" w14:paraId="3494DE91" w14:textId="77777777" w:rsidTr="007516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5E8D8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295E4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8D0334" w14:textId="77777777" w:rsidR="00914FBC" w:rsidRPr="00D86A5B" w:rsidRDefault="00D86A5B">
            <w:pPr>
              <w:spacing w:line="25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5C09E48" w14:textId="77777777" w:rsidR="00914FBC" w:rsidRPr="009D707E" w:rsidRDefault="00914FBC" w:rsidP="00C37B97">
            <w:pPr>
              <w:pStyle w:val="20"/>
              <w:jc w:val="left"/>
              <w:rPr>
                <w:rFonts w:ascii="Times New Roman" w:hAnsi="Times New Roman"/>
              </w:rPr>
            </w:pPr>
            <w:r w:rsidRPr="009D707E">
              <w:rPr>
                <w:rFonts w:ascii="Times New Roman" w:hAnsi="Times New Roman"/>
              </w:rPr>
              <w:t>Рукоятка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85196F" w14:textId="77777777" w:rsidR="00914FBC" w:rsidRPr="009D707E" w:rsidRDefault="00914FBC" w:rsidP="00C37B97">
            <w:pPr>
              <w:jc w:val="both"/>
            </w:pPr>
            <w:r w:rsidRPr="009D707E">
              <w:t>Стерилизуемая съемная центральная рукоятка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22D72AB" w14:textId="77777777" w:rsidR="00914FBC" w:rsidRPr="00136E88" w:rsidRDefault="00914FBC" w:rsidP="00C37B97">
            <w:pPr>
              <w:jc w:val="center"/>
            </w:pPr>
            <w:r>
              <w:t>2</w:t>
            </w:r>
            <w:r w:rsidRPr="00136E88">
              <w:t xml:space="preserve"> </w:t>
            </w:r>
            <w:proofErr w:type="spellStart"/>
            <w:r>
              <w:t>шт</w:t>
            </w:r>
            <w:proofErr w:type="spellEnd"/>
          </w:p>
        </w:tc>
      </w:tr>
      <w:tr w:rsidR="00914FBC" w14:paraId="61172832" w14:textId="77777777" w:rsidTr="007516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2B2F5A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C45EE4" w14:textId="77777777" w:rsidR="00914FBC" w:rsidRDefault="00914FBC">
            <w:pPr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7950CF" w14:textId="77777777" w:rsidR="00914FBC" w:rsidRPr="00D86A5B" w:rsidRDefault="00D86A5B">
            <w:pPr>
              <w:spacing w:line="25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21DD1F8" w14:textId="77777777" w:rsidR="00914FBC" w:rsidRPr="009D707E" w:rsidRDefault="00914FBC" w:rsidP="00C37B97">
            <w:pPr>
              <w:pStyle w:val="20"/>
              <w:jc w:val="left"/>
              <w:rPr>
                <w:rFonts w:ascii="Times New Roman" w:hAnsi="Times New Roman"/>
              </w:rPr>
            </w:pPr>
            <w:r w:rsidRPr="009D707E">
              <w:rPr>
                <w:rFonts w:ascii="Times New Roman" w:hAnsi="Times New Roman"/>
              </w:rPr>
              <w:t>Крепление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0CD67B" w14:textId="77777777" w:rsidR="00914FBC" w:rsidRPr="009D707E" w:rsidRDefault="00914FBC" w:rsidP="00C37B97">
            <w:pPr>
              <w:jc w:val="both"/>
            </w:pPr>
            <w:r w:rsidRPr="009D707E">
              <w:t>Система потолочного крепления на анкерных болтах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08D2026" w14:textId="77777777" w:rsidR="00914FBC" w:rsidRPr="00136E88" w:rsidRDefault="00914FBC" w:rsidP="00C37B97">
            <w:pPr>
              <w:jc w:val="center"/>
            </w:pPr>
            <w:r w:rsidRPr="00136E88">
              <w:t>1 комплект</w:t>
            </w:r>
          </w:p>
        </w:tc>
      </w:tr>
      <w:tr w:rsidR="00914FBC" w14:paraId="4507A06E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6DF090" w14:textId="77777777" w:rsidR="00914FBC" w:rsidRDefault="00914FB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B29B75" w14:textId="77777777" w:rsidR="00914FBC" w:rsidRDefault="00914FBC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Требования к условиям эксплуатации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302947E" w14:textId="77777777" w:rsidR="00914FBC" w:rsidRPr="009D707E" w:rsidRDefault="00914FBC" w:rsidP="00796AF4">
            <w:r w:rsidRPr="009D707E">
              <w:t>Электропитание: стандартная электрическая сеть 220+10%, 50 Гц.</w:t>
            </w:r>
          </w:p>
        </w:tc>
      </w:tr>
      <w:tr w:rsidR="00914FBC" w14:paraId="546874B2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28323" w14:textId="77777777" w:rsidR="00914FBC" w:rsidRDefault="00914FB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8DB421" w14:textId="77777777" w:rsidR="00914FBC" w:rsidRDefault="00914FBC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44045F" w14:textId="77777777" w:rsidR="00914FBC" w:rsidRPr="009D707E" w:rsidRDefault="00914FBC">
            <w:pPr>
              <w:spacing w:line="256" w:lineRule="auto"/>
            </w:pPr>
            <w:r w:rsidRPr="009D707E">
              <w:t xml:space="preserve">DDP: Адрес: </w:t>
            </w:r>
            <w:proofErr w:type="spellStart"/>
            <w:r w:rsidRPr="009D707E">
              <w:t>Акмолинская</w:t>
            </w:r>
            <w:proofErr w:type="spellEnd"/>
            <w:r w:rsidRPr="009D707E">
              <w:t xml:space="preserve"> область город Кокшетау улица </w:t>
            </w:r>
            <w:proofErr w:type="spellStart"/>
            <w:r w:rsidRPr="009D707E">
              <w:t>Сабатаева</w:t>
            </w:r>
            <w:proofErr w:type="spellEnd"/>
            <w:r w:rsidRPr="009D707E">
              <w:t xml:space="preserve"> 1</w:t>
            </w:r>
          </w:p>
        </w:tc>
      </w:tr>
      <w:tr w:rsidR="00914FBC" w14:paraId="0604568A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51B5BE" w14:textId="77777777" w:rsidR="00914FBC" w:rsidRDefault="00914FB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B61523" w14:textId="77777777" w:rsidR="00914FBC" w:rsidRDefault="00914FB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Срок поставки медицинской техники и место дислокации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55B4C3" w14:textId="3CBD3BD7" w:rsidR="00914FBC" w:rsidRPr="009D707E" w:rsidRDefault="00914FBC">
            <w:pPr>
              <w:spacing w:line="256" w:lineRule="auto"/>
              <w:rPr>
                <w:color w:val="000000"/>
                <w:spacing w:val="2"/>
                <w:lang w:val="kk-KZ"/>
              </w:rPr>
            </w:pPr>
            <w:r w:rsidRPr="009D707E">
              <w:rPr>
                <w:color w:val="000000"/>
                <w:spacing w:val="2"/>
                <w:sz w:val="22"/>
                <w:szCs w:val="22"/>
              </w:rPr>
              <w:t>60 календарных дней</w:t>
            </w:r>
            <w:r w:rsidR="00AF6286">
              <w:rPr>
                <w:color w:val="000000"/>
                <w:spacing w:val="2"/>
                <w:sz w:val="22"/>
                <w:szCs w:val="22"/>
              </w:rPr>
              <w:t xml:space="preserve"> с даты заключения договора.</w:t>
            </w:r>
            <w:r w:rsidRPr="009D707E">
              <w:rPr>
                <w:color w:val="000000"/>
                <w:spacing w:val="2"/>
                <w:sz w:val="22"/>
                <w:szCs w:val="22"/>
              </w:rPr>
              <w:br/>
              <w:t xml:space="preserve">Адрес: </w:t>
            </w:r>
            <w:proofErr w:type="spellStart"/>
            <w:r w:rsidRPr="009D707E">
              <w:rPr>
                <w:color w:val="000000"/>
                <w:spacing w:val="2"/>
                <w:sz w:val="22"/>
                <w:szCs w:val="22"/>
              </w:rPr>
              <w:t>Акмолинская</w:t>
            </w:r>
            <w:proofErr w:type="spellEnd"/>
            <w:r w:rsidRPr="009D707E">
              <w:rPr>
                <w:color w:val="000000"/>
                <w:spacing w:val="2"/>
                <w:sz w:val="22"/>
                <w:szCs w:val="22"/>
              </w:rPr>
              <w:t xml:space="preserve"> область город Кокшетау улица </w:t>
            </w:r>
            <w:proofErr w:type="spellStart"/>
            <w:r w:rsidRPr="009D707E">
              <w:rPr>
                <w:color w:val="000000"/>
                <w:spacing w:val="2"/>
                <w:sz w:val="22"/>
                <w:szCs w:val="22"/>
              </w:rPr>
              <w:t>Сабатаева</w:t>
            </w:r>
            <w:proofErr w:type="spellEnd"/>
            <w:r w:rsidRPr="009D707E">
              <w:rPr>
                <w:color w:val="000000"/>
                <w:spacing w:val="2"/>
                <w:sz w:val="22"/>
                <w:szCs w:val="22"/>
              </w:rPr>
              <w:t xml:space="preserve"> 1</w:t>
            </w:r>
          </w:p>
        </w:tc>
      </w:tr>
      <w:tr w:rsidR="00914FBC" w14:paraId="36F04B75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789A5C" w14:textId="77777777" w:rsidR="00914FBC" w:rsidRDefault="00914FB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C6BE67" w14:textId="77777777" w:rsidR="00914FBC" w:rsidRDefault="00914FBC">
            <w:pPr>
              <w:spacing w:line="256" w:lineRule="auto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831603" w14:textId="77777777" w:rsidR="00914FBC" w:rsidRDefault="00914FBC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Гарантийное сервисное обслуживание медицинской техники не менее 37 месяцев.</w:t>
            </w:r>
            <w:r>
              <w:rPr>
                <w:color w:val="000000"/>
                <w:spacing w:val="2"/>
              </w:rPr>
              <w:br/>
              <w:t>Плановое техническое обслуживание должно проводиться не реже чем 1 раз в квартал.</w:t>
            </w:r>
            <w:r>
              <w:rPr>
                <w:color w:val="000000"/>
                <w:spacing w:val="2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rPr>
                <w:color w:val="000000"/>
                <w:spacing w:val="2"/>
              </w:rPr>
              <w:br/>
              <w:t>- замену отработавших ресурс составных частей;</w:t>
            </w:r>
            <w:r>
              <w:rPr>
                <w:color w:val="000000"/>
                <w:spacing w:val="2"/>
              </w:rPr>
              <w:br/>
              <w:t>- замене или восстановлении отдельных частей медицинской техники;</w:t>
            </w:r>
            <w:r>
              <w:rPr>
                <w:color w:val="000000"/>
                <w:spacing w:val="2"/>
              </w:rP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rPr>
                <w:color w:val="000000"/>
                <w:spacing w:val="2"/>
              </w:rPr>
              <w:br/>
              <w:t>- чистку, смазку и при необходимости переборку основных механизмов и узлов;</w:t>
            </w:r>
            <w:r>
              <w:rPr>
                <w:color w:val="000000"/>
                <w:spacing w:val="2"/>
              </w:rPr>
              <w:br/>
              <w:t xml:space="preserve">- удаление пыли, грязи, следов коррозии </w:t>
            </w:r>
            <w:bookmarkStart w:id="0" w:name="_GoBack"/>
            <w:bookmarkEnd w:id="0"/>
            <w:r>
              <w:rPr>
                <w:color w:val="000000"/>
                <w:spacing w:val="2"/>
              </w:rPr>
              <w:t>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>
              <w:rPr>
                <w:color w:val="000000"/>
                <w:spacing w:val="2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914FBC" w14:paraId="7D88A723" w14:textId="77777777" w:rsidTr="00D86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8B88B1" w14:textId="77777777" w:rsidR="00914FBC" w:rsidRDefault="00914FBC">
            <w:pPr>
              <w:spacing w:line="25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07C930" w14:textId="77777777" w:rsidR="00914FBC" w:rsidRDefault="00914FBC">
            <w:pPr>
              <w:spacing w:line="256" w:lineRule="auto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Требования к </w:t>
            </w:r>
            <w:r>
              <w:rPr>
                <w:color w:val="000000"/>
                <w:spacing w:val="2"/>
              </w:rPr>
              <w:lastRenderedPageBreak/>
              <w:t>сопутствующим услугам</w:t>
            </w:r>
          </w:p>
        </w:tc>
        <w:tc>
          <w:tcPr>
            <w:tcW w:w="10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E1CF1" w14:textId="77777777" w:rsidR="00914FBC" w:rsidRDefault="00914FBC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lastRenderedPageBreak/>
              <w:t xml:space="preserve">Каждый комплект товара снабжается комплектом технической и эксплуатационной документации с </w:t>
            </w:r>
            <w:r>
              <w:rPr>
                <w:color w:val="000000"/>
                <w:spacing w:val="2"/>
              </w:rPr>
              <w:lastRenderedPageBreak/>
              <w:t>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74690F9B" w14:textId="77777777" w:rsidR="00914FBC" w:rsidRDefault="00914FBC">
            <w:pPr>
              <w:spacing w:line="256" w:lineRule="auto"/>
              <w:ind w:left="7"/>
              <w:jc w:val="both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pacing w:val="2"/>
              </w:rPr>
              <w:t>прединсталляционных</w:t>
            </w:r>
            <w:proofErr w:type="spellEnd"/>
            <w:r>
              <w:rPr>
                <w:color w:val="000000"/>
                <w:spacing w:val="2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pacing w:val="2"/>
              </w:rPr>
              <w:t>прединсталляционной</w:t>
            </w:r>
            <w:proofErr w:type="spellEnd"/>
            <w:r>
              <w:rPr>
                <w:color w:val="000000"/>
                <w:spacing w:val="2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7E80F767" w14:textId="5718AEEE" w:rsidR="008A06A7" w:rsidRDefault="008A06A7"/>
    <w:p w14:paraId="68FBD426" w14:textId="2006A108" w:rsidR="00F7730C" w:rsidRDefault="00F7730C"/>
    <w:p w14:paraId="78BEBF0D" w14:textId="158B517D" w:rsidR="00F7730C" w:rsidRPr="00F7730C" w:rsidRDefault="00F7730C" w:rsidP="00F7730C">
      <w:pPr>
        <w:rPr>
          <w:rFonts w:eastAsia="Calibri"/>
          <w:sz w:val="28"/>
          <w:szCs w:val="28"/>
        </w:rPr>
      </w:pPr>
      <w:proofErr w:type="spellStart"/>
      <w:r w:rsidRPr="00F7730C">
        <w:rPr>
          <w:rFonts w:eastAsia="Calibri"/>
          <w:sz w:val="28"/>
          <w:szCs w:val="28"/>
        </w:rPr>
        <w:t>Бекмухамбетов</w:t>
      </w:r>
      <w:proofErr w:type="spellEnd"/>
      <w:r w:rsidRPr="00F7730C">
        <w:rPr>
          <w:rFonts w:eastAsia="Calibri"/>
          <w:sz w:val="28"/>
          <w:szCs w:val="28"/>
        </w:rPr>
        <w:t xml:space="preserve"> Муратбек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Pr="00F7730C">
        <w:rPr>
          <w:rFonts w:eastAsia="Calibri"/>
          <w:sz w:val="28"/>
          <w:szCs w:val="28"/>
        </w:rPr>
        <w:t>Мусылманбекович</w:t>
      </w:r>
      <w:proofErr w:type="spellEnd"/>
      <w:r w:rsidRPr="00F7730C">
        <w:rPr>
          <w:rFonts w:eastAsia="Calibri"/>
          <w:sz w:val="28"/>
          <w:szCs w:val="28"/>
        </w:rPr>
        <w:t xml:space="preserve">  заведующий травматологическим  отделением</w:t>
      </w:r>
    </w:p>
    <w:p w14:paraId="395C609C" w14:textId="77777777" w:rsidR="00F7730C" w:rsidRDefault="00F7730C"/>
    <w:sectPr w:rsidR="00F7730C" w:rsidSect="005E22C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BEC"/>
    <w:rsid w:val="00163997"/>
    <w:rsid w:val="001B48D4"/>
    <w:rsid w:val="00434F69"/>
    <w:rsid w:val="005E22C7"/>
    <w:rsid w:val="006D5FCE"/>
    <w:rsid w:val="00796AF4"/>
    <w:rsid w:val="007B41D0"/>
    <w:rsid w:val="007B6BEC"/>
    <w:rsid w:val="007B7742"/>
    <w:rsid w:val="00831E81"/>
    <w:rsid w:val="008A06A7"/>
    <w:rsid w:val="008B4566"/>
    <w:rsid w:val="00914FBC"/>
    <w:rsid w:val="00991204"/>
    <w:rsid w:val="009D707E"/>
    <w:rsid w:val="009F2ED5"/>
    <w:rsid w:val="00AF6286"/>
    <w:rsid w:val="00BF3833"/>
    <w:rsid w:val="00CE078F"/>
    <w:rsid w:val="00D86A5B"/>
    <w:rsid w:val="00E96BE7"/>
    <w:rsid w:val="00F7730C"/>
    <w:rsid w:val="00FA1A4C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09A6"/>
  <w15:docId w15:val="{4F6B94C4-61B4-478F-97C0-BA326447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6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Простой Знак"/>
    <w:link w:val="a4"/>
    <w:uiPriority w:val="1"/>
    <w:locked/>
    <w:rsid w:val="007B6BEC"/>
    <w:rPr>
      <w:rFonts w:ascii="Calibri" w:eastAsia="Calibri" w:hAnsi="Calibri" w:cs="Calibri"/>
      <w:color w:val="000000"/>
      <w:lang w:eastAsia="ru-RU"/>
    </w:rPr>
  </w:style>
  <w:style w:type="paragraph" w:styleId="a4">
    <w:name w:val="No Spacing"/>
    <w:aliases w:val="Простой"/>
    <w:link w:val="a3"/>
    <w:uiPriority w:val="1"/>
    <w:qFormat/>
    <w:rsid w:val="007B6BEC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character" w:customStyle="1" w:styleId="2">
    <w:name w:val="Стиль2 Знак"/>
    <w:link w:val="20"/>
    <w:rsid w:val="00914FBC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914FBC"/>
    <w:pPr>
      <w:jc w:val="both"/>
    </w:pPr>
    <w:rPr>
      <w:rFonts w:asciiTheme="minorHAnsi" w:eastAsiaTheme="minorHAnsi" w:hAnsiTheme="minorHAns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2023-05-30T09:29:00Z</cp:lastPrinted>
  <dcterms:created xsi:type="dcterms:W3CDTF">2023-05-05T09:43:00Z</dcterms:created>
  <dcterms:modified xsi:type="dcterms:W3CDTF">2023-06-12T09:57:00Z</dcterms:modified>
</cp:coreProperties>
</file>