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E1929">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343696">
        <w:rPr>
          <w:sz w:val="28"/>
          <w:szCs w:val="28"/>
        </w:rPr>
        <w:t>14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16FA6">
        <w:rPr>
          <w:sz w:val="24"/>
          <w:szCs w:val="24"/>
        </w:rPr>
        <w:t>1</w:t>
      </w:r>
      <w:r w:rsidR="00343696">
        <w:rPr>
          <w:sz w:val="24"/>
          <w:szCs w:val="24"/>
        </w:rPr>
        <w:t>7</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343696" w:rsidRDefault="00343696" w:rsidP="00343696">
      <w:pPr>
        <w:pStyle w:val="a3"/>
        <w:shd w:val="clear" w:color="auto" w:fill="FFFFFF"/>
        <w:spacing w:before="0" w:beforeAutospacing="0" w:after="0" w:afterAutospacing="0"/>
        <w:jc w:val="both"/>
        <w:textAlignment w:val="baseline"/>
        <w:rPr>
          <w:spacing w:val="2"/>
          <w:sz w:val="22"/>
          <w:szCs w:val="22"/>
          <w:lang w:val="kk-KZ"/>
        </w:rPr>
      </w:pPr>
    </w:p>
    <w:tbl>
      <w:tblPr>
        <w:tblW w:w="15466" w:type="dxa"/>
        <w:tblInd w:w="93" w:type="dxa"/>
        <w:tblLook w:val="04A0"/>
      </w:tblPr>
      <w:tblGrid>
        <w:gridCol w:w="724"/>
        <w:gridCol w:w="2126"/>
        <w:gridCol w:w="3969"/>
        <w:gridCol w:w="4120"/>
        <w:gridCol w:w="1076"/>
        <w:gridCol w:w="851"/>
        <w:gridCol w:w="1134"/>
        <w:gridCol w:w="1466"/>
      </w:tblGrid>
      <w:tr w:rsidR="00343696" w:rsidRPr="0019563E" w:rsidTr="00F1113C">
        <w:trPr>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80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696" w:rsidRPr="0019563E" w:rsidRDefault="00343696" w:rsidP="00F1113C">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343696" w:rsidRPr="0019563E" w:rsidTr="00F1113C">
        <w:trPr>
          <w:trHeight w:val="510"/>
        </w:trPr>
        <w:tc>
          <w:tcPr>
            <w:tcW w:w="724" w:type="dxa"/>
            <w:vMerge w:val="restart"/>
            <w:tcBorders>
              <w:top w:val="nil"/>
              <w:left w:val="single" w:sz="4" w:space="0" w:color="auto"/>
              <w:right w:val="single" w:sz="4" w:space="0" w:color="auto"/>
            </w:tcBorders>
            <w:shd w:val="clear" w:color="auto" w:fill="auto"/>
            <w:vAlign w:val="center"/>
            <w:hideMark/>
          </w:tcPr>
          <w:p w:rsidR="00343696" w:rsidRDefault="00343696" w:rsidP="00F1113C">
            <w:pPr>
              <w:jc w:val="center"/>
              <w:rPr>
                <w:b/>
                <w:bCs/>
                <w:i/>
                <w:iCs/>
                <w:color w:val="000000"/>
                <w:sz w:val="20"/>
                <w:szCs w:val="20"/>
              </w:rPr>
            </w:pPr>
            <w:r>
              <w:rPr>
                <w:b/>
                <w:bCs/>
                <w:i/>
                <w:iCs/>
                <w:color w:val="000000"/>
                <w:sz w:val="20"/>
                <w:szCs w:val="20"/>
              </w:rPr>
              <w:t>1</w:t>
            </w:r>
          </w:p>
        </w:tc>
        <w:tc>
          <w:tcPr>
            <w:tcW w:w="2126" w:type="dxa"/>
            <w:vMerge w:val="restart"/>
            <w:tcBorders>
              <w:top w:val="nil"/>
              <w:left w:val="single" w:sz="4" w:space="0" w:color="auto"/>
              <w:right w:val="single" w:sz="4" w:space="0" w:color="auto"/>
            </w:tcBorders>
            <w:shd w:val="clear" w:color="auto" w:fill="auto"/>
            <w:vAlign w:val="center"/>
          </w:tcPr>
          <w:p w:rsidR="00343696" w:rsidRPr="002969DE" w:rsidRDefault="00343696" w:rsidP="00F1113C">
            <w:pPr>
              <w:jc w:val="center"/>
              <w:rPr>
                <w:rFonts w:ascii="Times New Roman" w:hAnsi="Times New Roman" w:cs="Times New Roman"/>
                <w:b/>
                <w:bCs/>
                <w:i/>
                <w:iCs/>
                <w:color w:val="000000"/>
                <w:sz w:val="20"/>
                <w:szCs w:val="20"/>
              </w:rPr>
            </w:pPr>
            <w:r w:rsidRPr="002969DE">
              <w:rPr>
                <w:rFonts w:ascii="Times New Roman" w:hAnsi="Times New Roman" w:cs="Times New Roman"/>
                <w:sz w:val="24"/>
                <w:szCs w:val="24"/>
              </w:rPr>
              <w:t xml:space="preserve">Набор реагентов и материалов для проведения традиционного </w:t>
            </w:r>
            <w:proofErr w:type="spellStart"/>
            <w:proofErr w:type="gramStart"/>
            <w:r w:rsidRPr="002969DE">
              <w:rPr>
                <w:rFonts w:ascii="Times New Roman" w:hAnsi="Times New Roman" w:cs="Times New Roman"/>
                <w:sz w:val="24"/>
                <w:szCs w:val="24"/>
              </w:rPr>
              <w:t>Пап-теста</w:t>
            </w:r>
            <w:proofErr w:type="spellEnd"/>
            <w:proofErr w:type="gramEnd"/>
            <w:r w:rsidRPr="002969DE">
              <w:rPr>
                <w:rFonts w:ascii="Times New Roman" w:hAnsi="Times New Roman" w:cs="Times New Roman"/>
                <w:sz w:val="24"/>
                <w:szCs w:val="24"/>
              </w:rPr>
              <w:t xml:space="preserve"> при скрининге РШМ</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343696" w:rsidRPr="00BB0870" w:rsidRDefault="00343696" w:rsidP="00F1113C">
            <w:pPr>
              <w:rPr>
                <w:rFonts w:ascii="Times New Roman" w:hAnsi="Times New Roman" w:cs="Times New Roman"/>
                <w:color w:val="000000"/>
              </w:rPr>
            </w:pPr>
            <w:proofErr w:type="spellStart"/>
            <w:r w:rsidRPr="00BB0870">
              <w:rPr>
                <w:rFonts w:ascii="Times New Roman" w:hAnsi="Times New Roman" w:cs="Times New Roman"/>
                <w:color w:val="000000"/>
              </w:rPr>
              <w:t>Цитощетка</w:t>
            </w:r>
            <w:proofErr w:type="spellEnd"/>
            <w:r w:rsidRPr="00BB0870">
              <w:rPr>
                <w:rFonts w:ascii="Times New Roman" w:hAnsi="Times New Roman" w:cs="Times New Roman"/>
                <w:color w:val="000000"/>
              </w:rPr>
              <w:t xml:space="preserve"> (для гинекологического забора)</w:t>
            </w:r>
          </w:p>
        </w:tc>
        <w:tc>
          <w:tcPr>
            <w:tcW w:w="4120" w:type="dxa"/>
            <w:tcBorders>
              <w:top w:val="single" w:sz="4" w:space="0" w:color="auto"/>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color w:val="000000"/>
              </w:rPr>
            </w:pPr>
            <w:r w:rsidRPr="00BB0870">
              <w:rPr>
                <w:rFonts w:ascii="Times New Roman" w:hAnsi="Times New Roman" w:cs="Times New Roman"/>
                <w:color w:val="000000"/>
              </w:rPr>
              <w:t xml:space="preserve">Стерильная. Индивидуальная упаковка. </w:t>
            </w:r>
            <w:proofErr w:type="gramStart"/>
            <w:r w:rsidRPr="00BB0870">
              <w:rPr>
                <w:rFonts w:ascii="Times New Roman" w:hAnsi="Times New Roman" w:cs="Times New Roman"/>
                <w:color w:val="000000"/>
              </w:rPr>
              <w:t>Одноразовая</w:t>
            </w:r>
            <w:proofErr w:type="gramEnd"/>
            <w:r w:rsidRPr="00BB0870">
              <w:rPr>
                <w:rFonts w:ascii="Times New Roman" w:hAnsi="Times New Roman" w:cs="Times New Roman"/>
                <w:color w:val="000000"/>
              </w:rPr>
              <w:t>. 1 шт. на 1 тест.</w:t>
            </w:r>
          </w:p>
        </w:tc>
        <w:tc>
          <w:tcPr>
            <w:tcW w:w="1076" w:type="dxa"/>
            <w:vMerge w:val="restart"/>
            <w:tcBorders>
              <w:top w:val="nil"/>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color w:val="000000"/>
              </w:rPr>
            </w:pPr>
            <w:proofErr w:type="gramStart"/>
            <w:r>
              <w:rPr>
                <w:rFonts w:ascii="Times New Roman" w:hAnsi="Times New Roman" w:cs="Times New Roman"/>
                <w:color w:val="000000"/>
              </w:rPr>
              <w:t>н</w:t>
            </w:r>
            <w:proofErr w:type="gramEnd"/>
            <w:r>
              <w:rPr>
                <w:rFonts w:ascii="Times New Roman" w:hAnsi="Times New Roman" w:cs="Times New Roman"/>
                <w:color w:val="000000"/>
              </w:rPr>
              <w:t>абор</w:t>
            </w:r>
          </w:p>
        </w:tc>
        <w:tc>
          <w:tcPr>
            <w:tcW w:w="851" w:type="dxa"/>
            <w:vMerge w:val="restart"/>
            <w:tcBorders>
              <w:top w:val="nil"/>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color w:val="000000"/>
              </w:rPr>
            </w:pPr>
            <w:r>
              <w:rPr>
                <w:rFonts w:ascii="Times New Roman" w:hAnsi="Times New Roman" w:cs="Times New Roman"/>
                <w:color w:val="000000"/>
              </w:rPr>
              <w:t>6 626</w:t>
            </w:r>
          </w:p>
        </w:tc>
        <w:tc>
          <w:tcPr>
            <w:tcW w:w="1134" w:type="dxa"/>
            <w:vMerge w:val="restart"/>
            <w:tcBorders>
              <w:top w:val="nil"/>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color w:val="000000"/>
              </w:rPr>
            </w:pPr>
            <w:r>
              <w:rPr>
                <w:rFonts w:ascii="Times New Roman" w:hAnsi="Times New Roman" w:cs="Times New Roman"/>
                <w:color w:val="000000"/>
              </w:rPr>
              <w:t>500</w:t>
            </w:r>
          </w:p>
        </w:tc>
        <w:tc>
          <w:tcPr>
            <w:tcW w:w="1466" w:type="dxa"/>
            <w:vMerge w:val="restart"/>
            <w:tcBorders>
              <w:top w:val="nil"/>
              <w:left w:val="nil"/>
              <w:right w:val="single" w:sz="4" w:space="0" w:color="auto"/>
            </w:tcBorders>
            <w:shd w:val="clear" w:color="auto" w:fill="auto"/>
            <w:vAlign w:val="center"/>
            <w:hideMark/>
          </w:tcPr>
          <w:p w:rsidR="00343696" w:rsidRPr="006D13A7" w:rsidRDefault="00FE1A29" w:rsidP="00F1113C">
            <w:pPr>
              <w:jc w:val="center"/>
              <w:rPr>
                <w:rFonts w:ascii="Times New Roman" w:hAnsi="Times New Roman" w:cs="Times New Roman"/>
                <w:color w:val="000000"/>
              </w:rPr>
            </w:pPr>
            <w:r>
              <w:rPr>
                <w:rFonts w:ascii="Times New Roman" w:hAnsi="Times New Roman" w:cs="Times New Roman"/>
                <w:color w:val="000000"/>
              </w:rPr>
              <w:t>3 313 000</w:t>
            </w:r>
          </w:p>
        </w:tc>
      </w:tr>
      <w:tr w:rsidR="00343696" w:rsidRPr="0019563E" w:rsidTr="00F1113C">
        <w:trPr>
          <w:trHeight w:val="368"/>
        </w:trPr>
        <w:tc>
          <w:tcPr>
            <w:tcW w:w="724" w:type="dxa"/>
            <w:vMerge/>
            <w:tcBorders>
              <w:left w:val="single" w:sz="4" w:space="0" w:color="auto"/>
              <w:right w:val="single" w:sz="4" w:space="0" w:color="auto"/>
            </w:tcBorders>
            <w:shd w:val="clear" w:color="auto" w:fill="auto"/>
            <w:hideMark/>
          </w:tcPr>
          <w:p w:rsidR="00343696" w:rsidRDefault="00343696" w:rsidP="00F1113C">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343696" w:rsidRDefault="00343696" w:rsidP="00F1113C">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343696" w:rsidRPr="00BB0870" w:rsidRDefault="00343696" w:rsidP="00F1113C">
            <w:pPr>
              <w:rPr>
                <w:rFonts w:ascii="Times New Roman" w:hAnsi="Times New Roman" w:cs="Times New Roman"/>
                <w:color w:val="000000"/>
              </w:rPr>
            </w:pPr>
            <w:r w:rsidRPr="00BB0870">
              <w:rPr>
                <w:rFonts w:ascii="Times New Roman" w:hAnsi="Times New Roman" w:cs="Times New Roman"/>
                <w:color w:val="000000"/>
              </w:rPr>
              <w:t>Е</w:t>
            </w:r>
            <w:proofErr w:type="gramStart"/>
            <w:r w:rsidRPr="00BB0870">
              <w:rPr>
                <w:rFonts w:ascii="Times New Roman" w:hAnsi="Times New Roman" w:cs="Times New Roman"/>
                <w:color w:val="000000"/>
              </w:rPr>
              <w:t>А-</w:t>
            </w:r>
            <w:proofErr w:type="gramEnd"/>
            <w:r w:rsidRPr="00BB0870">
              <w:rPr>
                <w:rFonts w:ascii="Times New Roman" w:hAnsi="Times New Roman" w:cs="Times New Roman"/>
                <w:color w:val="000000"/>
              </w:rPr>
              <w:t xml:space="preserve"> краситель </w:t>
            </w:r>
            <w:proofErr w:type="spellStart"/>
            <w:r w:rsidRPr="00BB0870">
              <w:rPr>
                <w:rFonts w:ascii="Times New Roman" w:hAnsi="Times New Roman" w:cs="Times New Roman"/>
                <w:color w:val="000000"/>
              </w:rPr>
              <w:t>Папаниколау</w:t>
            </w:r>
            <w:proofErr w:type="spellEnd"/>
          </w:p>
        </w:tc>
        <w:tc>
          <w:tcPr>
            <w:tcW w:w="4120" w:type="dxa"/>
            <w:tcBorders>
              <w:top w:val="nil"/>
              <w:left w:val="nil"/>
              <w:bottom w:val="single" w:sz="4" w:space="0" w:color="auto"/>
              <w:right w:val="single" w:sz="4" w:space="0" w:color="auto"/>
            </w:tcBorders>
            <w:shd w:val="clear" w:color="auto" w:fill="auto"/>
            <w:hideMark/>
          </w:tcPr>
          <w:p w:rsidR="00343696" w:rsidRPr="00BB0870" w:rsidRDefault="00FE1A29" w:rsidP="00F1113C">
            <w:pPr>
              <w:rPr>
                <w:rFonts w:ascii="Times New Roman" w:hAnsi="Times New Roman" w:cs="Times New Roman"/>
                <w:color w:val="000000"/>
              </w:rPr>
            </w:pPr>
            <w:r>
              <w:rPr>
                <w:rFonts w:ascii="Times New Roman" w:hAnsi="Times New Roman" w:cs="Times New Roman"/>
                <w:color w:val="000000"/>
              </w:rPr>
              <w:t>1мл на 1 тест. Объем 1 бутылка 10</w:t>
            </w:r>
            <w:r w:rsidR="00343696" w:rsidRPr="00BB0870">
              <w:rPr>
                <w:rFonts w:ascii="Times New Roman" w:hAnsi="Times New Roman" w:cs="Times New Roman"/>
                <w:color w:val="000000"/>
              </w:rPr>
              <w:t>00,0 мл</w:t>
            </w:r>
          </w:p>
        </w:tc>
        <w:tc>
          <w:tcPr>
            <w:tcW w:w="107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343696" w:rsidRPr="006D13A7" w:rsidRDefault="00343696" w:rsidP="00F1113C">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r>
      <w:tr w:rsidR="00343696" w:rsidRPr="0019563E" w:rsidTr="00F1113C">
        <w:trPr>
          <w:trHeight w:val="274"/>
        </w:trPr>
        <w:tc>
          <w:tcPr>
            <w:tcW w:w="724" w:type="dxa"/>
            <w:vMerge/>
            <w:tcBorders>
              <w:left w:val="single" w:sz="4" w:space="0" w:color="auto"/>
              <w:right w:val="single" w:sz="4" w:space="0" w:color="auto"/>
            </w:tcBorders>
            <w:shd w:val="clear" w:color="auto" w:fill="auto"/>
            <w:hideMark/>
          </w:tcPr>
          <w:p w:rsidR="00343696" w:rsidRDefault="00343696" w:rsidP="00F1113C">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343696" w:rsidRDefault="00343696" w:rsidP="00F1113C">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343696" w:rsidRPr="00BB0870" w:rsidRDefault="00343696" w:rsidP="00F1113C">
            <w:pPr>
              <w:rPr>
                <w:rFonts w:ascii="Times New Roman" w:hAnsi="Times New Roman" w:cs="Times New Roman"/>
                <w:color w:val="000000"/>
              </w:rPr>
            </w:pPr>
            <w:r w:rsidRPr="00BB0870">
              <w:rPr>
                <w:rFonts w:ascii="Times New Roman" w:hAnsi="Times New Roman" w:cs="Times New Roman"/>
                <w:color w:val="000000"/>
              </w:rPr>
              <w:t xml:space="preserve">Красители </w:t>
            </w:r>
            <w:proofErr w:type="spellStart"/>
            <w:r w:rsidRPr="00BB0870">
              <w:rPr>
                <w:rFonts w:ascii="Times New Roman" w:hAnsi="Times New Roman" w:cs="Times New Roman"/>
                <w:color w:val="000000"/>
              </w:rPr>
              <w:t>Папаниколау</w:t>
            </w:r>
            <w:proofErr w:type="spellEnd"/>
            <w:r w:rsidRPr="00BB0870">
              <w:rPr>
                <w:rFonts w:ascii="Times New Roman" w:hAnsi="Times New Roman" w:cs="Times New Roman"/>
                <w:color w:val="000000"/>
              </w:rPr>
              <w:t xml:space="preserve">: </w:t>
            </w:r>
            <w:proofErr w:type="spellStart"/>
            <w:r w:rsidRPr="00BB0870">
              <w:rPr>
                <w:rFonts w:ascii="Times New Roman" w:hAnsi="Times New Roman" w:cs="Times New Roman"/>
                <w:color w:val="000000"/>
              </w:rPr>
              <w:t>Hematoxylin</w:t>
            </w:r>
            <w:proofErr w:type="spellEnd"/>
            <w:r w:rsidRPr="00BB0870">
              <w:rPr>
                <w:rFonts w:ascii="Times New Roman" w:hAnsi="Times New Roman" w:cs="Times New Roman"/>
                <w:color w:val="000000"/>
              </w:rPr>
              <w:t xml:space="preserve"> </w:t>
            </w:r>
            <w:proofErr w:type="spellStart"/>
            <w:r w:rsidRPr="00BB0870">
              <w:rPr>
                <w:rFonts w:ascii="Times New Roman" w:hAnsi="Times New Roman" w:cs="Times New Roman"/>
                <w:color w:val="000000"/>
              </w:rPr>
              <w:t>Harris</w:t>
            </w:r>
            <w:proofErr w:type="spellEnd"/>
            <w:r w:rsidRPr="00BB0870">
              <w:rPr>
                <w:rFonts w:ascii="Times New Roman" w:hAnsi="Times New Roman" w:cs="Times New Roman"/>
                <w:color w:val="000000"/>
              </w:rPr>
              <w:t xml:space="preserve"> </w:t>
            </w:r>
          </w:p>
        </w:tc>
        <w:tc>
          <w:tcPr>
            <w:tcW w:w="4120" w:type="dxa"/>
            <w:tcBorders>
              <w:top w:val="nil"/>
              <w:left w:val="nil"/>
              <w:bottom w:val="single" w:sz="4" w:space="0" w:color="auto"/>
              <w:right w:val="single" w:sz="4" w:space="0" w:color="auto"/>
            </w:tcBorders>
            <w:shd w:val="clear" w:color="auto" w:fill="auto"/>
            <w:hideMark/>
          </w:tcPr>
          <w:p w:rsidR="00343696" w:rsidRPr="00BB0870" w:rsidRDefault="00343696" w:rsidP="00FE1A29">
            <w:pPr>
              <w:rPr>
                <w:rFonts w:ascii="Times New Roman" w:hAnsi="Times New Roman" w:cs="Times New Roman"/>
                <w:color w:val="000000"/>
              </w:rPr>
            </w:pPr>
            <w:r w:rsidRPr="00BB0870">
              <w:rPr>
                <w:rFonts w:ascii="Times New Roman" w:hAnsi="Times New Roman" w:cs="Times New Roman"/>
                <w:color w:val="000000"/>
              </w:rPr>
              <w:t xml:space="preserve">1 мл на 1 тест. Объем  1 бутылка </w:t>
            </w:r>
            <w:r w:rsidR="00FE1A29">
              <w:rPr>
                <w:rFonts w:ascii="Times New Roman" w:hAnsi="Times New Roman" w:cs="Times New Roman"/>
                <w:color w:val="000000"/>
              </w:rPr>
              <w:t>10</w:t>
            </w:r>
            <w:r w:rsidRPr="00BB0870">
              <w:rPr>
                <w:rFonts w:ascii="Times New Roman" w:hAnsi="Times New Roman" w:cs="Times New Roman"/>
                <w:color w:val="000000"/>
              </w:rPr>
              <w:t>00,0 мл</w:t>
            </w:r>
          </w:p>
        </w:tc>
        <w:tc>
          <w:tcPr>
            <w:tcW w:w="107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343696" w:rsidRPr="006D13A7" w:rsidRDefault="00343696" w:rsidP="00F1113C">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r>
      <w:tr w:rsidR="00343696" w:rsidRPr="0019563E" w:rsidTr="00F1113C">
        <w:trPr>
          <w:trHeight w:val="278"/>
        </w:trPr>
        <w:tc>
          <w:tcPr>
            <w:tcW w:w="724" w:type="dxa"/>
            <w:vMerge/>
            <w:tcBorders>
              <w:left w:val="single" w:sz="4" w:space="0" w:color="auto"/>
              <w:right w:val="single" w:sz="4" w:space="0" w:color="auto"/>
            </w:tcBorders>
            <w:shd w:val="clear" w:color="auto" w:fill="auto"/>
            <w:hideMark/>
          </w:tcPr>
          <w:p w:rsidR="00343696" w:rsidRDefault="00343696" w:rsidP="00F1113C">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343696" w:rsidRDefault="00343696" w:rsidP="00F1113C">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343696" w:rsidRPr="00BB0870" w:rsidRDefault="00343696" w:rsidP="00F1113C">
            <w:pPr>
              <w:rPr>
                <w:rFonts w:ascii="Times New Roman" w:hAnsi="Times New Roman" w:cs="Times New Roman"/>
                <w:color w:val="000000"/>
              </w:rPr>
            </w:pPr>
            <w:r w:rsidRPr="00BB0870">
              <w:rPr>
                <w:rFonts w:ascii="Times New Roman" w:hAnsi="Times New Roman" w:cs="Times New Roman"/>
                <w:color w:val="000000"/>
              </w:rPr>
              <w:t xml:space="preserve">OG -краситель </w:t>
            </w:r>
          </w:p>
        </w:tc>
        <w:tc>
          <w:tcPr>
            <w:tcW w:w="4120" w:type="dxa"/>
            <w:tcBorders>
              <w:top w:val="nil"/>
              <w:left w:val="nil"/>
              <w:bottom w:val="single" w:sz="4" w:space="0" w:color="auto"/>
              <w:right w:val="single" w:sz="4" w:space="0" w:color="auto"/>
            </w:tcBorders>
            <w:shd w:val="clear" w:color="auto" w:fill="auto"/>
            <w:hideMark/>
          </w:tcPr>
          <w:p w:rsidR="00343696" w:rsidRPr="00BB0870" w:rsidRDefault="00343696" w:rsidP="00FE1A29">
            <w:pPr>
              <w:rPr>
                <w:rFonts w:ascii="Times New Roman" w:hAnsi="Times New Roman" w:cs="Times New Roman"/>
                <w:color w:val="000000"/>
              </w:rPr>
            </w:pPr>
            <w:r w:rsidRPr="00BB0870">
              <w:rPr>
                <w:rFonts w:ascii="Times New Roman" w:hAnsi="Times New Roman" w:cs="Times New Roman"/>
                <w:color w:val="000000"/>
              </w:rPr>
              <w:t xml:space="preserve">1 мл на 1 тест. Объем  1 бутылка </w:t>
            </w:r>
            <w:r w:rsidR="00FE1A29">
              <w:rPr>
                <w:rFonts w:ascii="Times New Roman" w:hAnsi="Times New Roman" w:cs="Times New Roman"/>
                <w:color w:val="000000"/>
              </w:rPr>
              <w:t>10</w:t>
            </w:r>
            <w:r w:rsidRPr="00BB0870">
              <w:rPr>
                <w:rFonts w:ascii="Times New Roman" w:hAnsi="Times New Roman" w:cs="Times New Roman"/>
                <w:color w:val="000000"/>
              </w:rPr>
              <w:t>00,0 мл</w:t>
            </w:r>
          </w:p>
        </w:tc>
        <w:tc>
          <w:tcPr>
            <w:tcW w:w="107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iCs/>
              </w:rPr>
            </w:pPr>
          </w:p>
        </w:tc>
        <w:tc>
          <w:tcPr>
            <w:tcW w:w="851"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343696" w:rsidRPr="006D13A7" w:rsidRDefault="00343696" w:rsidP="00F1113C">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iCs/>
              </w:rPr>
            </w:pPr>
          </w:p>
        </w:tc>
      </w:tr>
      <w:tr w:rsidR="00343696" w:rsidRPr="0019563E" w:rsidTr="00F1113C">
        <w:trPr>
          <w:trHeight w:val="268"/>
        </w:trPr>
        <w:tc>
          <w:tcPr>
            <w:tcW w:w="724" w:type="dxa"/>
            <w:vMerge/>
            <w:tcBorders>
              <w:left w:val="single" w:sz="4" w:space="0" w:color="auto"/>
              <w:right w:val="single" w:sz="4" w:space="0" w:color="auto"/>
            </w:tcBorders>
            <w:shd w:val="clear" w:color="auto" w:fill="auto"/>
            <w:vAlign w:val="center"/>
            <w:hideMark/>
          </w:tcPr>
          <w:p w:rsidR="00343696" w:rsidRDefault="00343696" w:rsidP="00F1113C">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343696" w:rsidRDefault="00343696" w:rsidP="00F1113C">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 xml:space="preserve">Предметное стекло со шлифованным краем, с матовым полем. </w:t>
            </w:r>
          </w:p>
        </w:tc>
        <w:tc>
          <w:tcPr>
            <w:tcW w:w="4120"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 xml:space="preserve">дм 76х26, толщина 1мм. 1 </w:t>
            </w:r>
            <w:proofErr w:type="spellStart"/>
            <w:proofErr w:type="gramStart"/>
            <w:r w:rsidRPr="00BB0870">
              <w:rPr>
                <w:rFonts w:ascii="Times New Roman" w:hAnsi="Times New Roman" w:cs="Times New Roman"/>
              </w:rPr>
              <w:t>шт</w:t>
            </w:r>
            <w:proofErr w:type="spellEnd"/>
            <w:proofErr w:type="gramEnd"/>
            <w:r w:rsidRPr="00BB0870">
              <w:rPr>
                <w:rFonts w:ascii="Times New Roman" w:hAnsi="Times New Roman" w:cs="Times New Roman"/>
              </w:rPr>
              <w:t xml:space="preserve"> на 1 тест</w:t>
            </w:r>
          </w:p>
        </w:tc>
        <w:tc>
          <w:tcPr>
            <w:tcW w:w="107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343696" w:rsidRPr="006D13A7" w:rsidRDefault="00343696" w:rsidP="00F1113C">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r>
      <w:tr w:rsidR="00343696" w:rsidRPr="0019563E" w:rsidTr="00F1113C">
        <w:trPr>
          <w:trHeight w:val="272"/>
        </w:trPr>
        <w:tc>
          <w:tcPr>
            <w:tcW w:w="724" w:type="dxa"/>
            <w:vMerge/>
            <w:tcBorders>
              <w:left w:val="single" w:sz="4" w:space="0" w:color="auto"/>
              <w:right w:val="single" w:sz="4" w:space="0" w:color="auto"/>
            </w:tcBorders>
            <w:shd w:val="clear" w:color="auto" w:fill="auto"/>
            <w:vAlign w:val="center"/>
            <w:hideMark/>
          </w:tcPr>
          <w:p w:rsidR="00343696" w:rsidRDefault="00343696" w:rsidP="00F1113C">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343696" w:rsidRDefault="00343696" w:rsidP="00F1113C">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стекло покровное</w:t>
            </w:r>
          </w:p>
        </w:tc>
        <w:tc>
          <w:tcPr>
            <w:tcW w:w="4120"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 xml:space="preserve">дм 24х50. 1 </w:t>
            </w:r>
            <w:proofErr w:type="spellStart"/>
            <w:proofErr w:type="gramStart"/>
            <w:r w:rsidRPr="00BB0870">
              <w:rPr>
                <w:rFonts w:ascii="Times New Roman" w:hAnsi="Times New Roman" w:cs="Times New Roman"/>
              </w:rPr>
              <w:t>шт</w:t>
            </w:r>
            <w:proofErr w:type="spellEnd"/>
            <w:proofErr w:type="gramEnd"/>
            <w:r w:rsidRPr="00BB0870">
              <w:rPr>
                <w:rFonts w:ascii="Times New Roman" w:hAnsi="Times New Roman" w:cs="Times New Roman"/>
              </w:rPr>
              <w:t xml:space="preserve"> на 1 тест</w:t>
            </w:r>
          </w:p>
        </w:tc>
        <w:tc>
          <w:tcPr>
            <w:tcW w:w="107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343696" w:rsidRPr="006D13A7" w:rsidRDefault="00343696" w:rsidP="00F1113C">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343696" w:rsidRPr="006D13A7" w:rsidRDefault="00343696" w:rsidP="00F1113C">
            <w:pPr>
              <w:jc w:val="center"/>
              <w:rPr>
                <w:rFonts w:ascii="Times New Roman" w:hAnsi="Times New Roman" w:cs="Times New Roman"/>
                <w:bCs/>
                <w:iCs/>
                <w:color w:val="000000"/>
              </w:rPr>
            </w:pPr>
          </w:p>
        </w:tc>
      </w:tr>
      <w:tr w:rsidR="00343696" w:rsidRPr="0019563E" w:rsidTr="00F1113C">
        <w:trPr>
          <w:trHeight w:val="432"/>
        </w:trPr>
        <w:tc>
          <w:tcPr>
            <w:tcW w:w="724" w:type="dxa"/>
            <w:vMerge/>
            <w:tcBorders>
              <w:left w:val="single" w:sz="4" w:space="0" w:color="auto"/>
              <w:right w:val="single" w:sz="4" w:space="0" w:color="auto"/>
            </w:tcBorders>
            <w:shd w:val="clear" w:color="auto" w:fill="auto"/>
            <w:vAlign w:val="center"/>
            <w:hideMark/>
          </w:tcPr>
          <w:p w:rsidR="00343696" w:rsidRDefault="00343696" w:rsidP="00F1113C">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343696" w:rsidRDefault="00343696" w:rsidP="00F1113C">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343696" w:rsidRPr="00BB0870" w:rsidRDefault="00343696" w:rsidP="00343696">
            <w:pPr>
              <w:rPr>
                <w:rFonts w:ascii="Times New Roman" w:hAnsi="Times New Roman" w:cs="Times New Roman"/>
              </w:rPr>
            </w:pPr>
            <w:r w:rsidRPr="00BB0870">
              <w:rPr>
                <w:rFonts w:ascii="Times New Roman" w:hAnsi="Times New Roman" w:cs="Times New Roman"/>
              </w:rPr>
              <w:t>Бальзам (</w:t>
            </w:r>
            <w:proofErr w:type="spellStart"/>
            <w:r w:rsidRPr="00BB0870">
              <w:rPr>
                <w:rFonts w:ascii="Times New Roman" w:hAnsi="Times New Roman" w:cs="Times New Roman"/>
              </w:rPr>
              <w:t>био-Маунт</w:t>
            </w:r>
            <w:proofErr w:type="spellEnd"/>
            <w:r w:rsidRPr="00BB0870">
              <w:rPr>
                <w:rFonts w:ascii="Times New Roman" w:hAnsi="Times New Roman" w:cs="Times New Roman"/>
              </w:rPr>
              <w:t>) канадский</w:t>
            </w:r>
          </w:p>
        </w:tc>
        <w:tc>
          <w:tcPr>
            <w:tcW w:w="4120"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покрывающая среда, содержащая синтетический клей 0,2</w:t>
            </w:r>
            <w:r>
              <w:rPr>
                <w:rFonts w:ascii="Times New Roman" w:hAnsi="Times New Roman" w:cs="Times New Roman"/>
              </w:rPr>
              <w:t xml:space="preserve"> </w:t>
            </w:r>
            <w:r w:rsidRPr="00BB0870">
              <w:rPr>
                <w:rFonts w:ascii="Times New Roman" w:hAnsi="Times New Roman" w:cs="Times New Roman"/>
              </w:rPr>
              <w:t>мл на 1тест</w:t>
            </w:r>
          </w:p>
        </w:tc>
        <w:tc>
          <w:tcPr>
            <w:tcW w:w="1076" w:type="dxa"/>
            <w:vMerge/>
            <w:tcBorders>
              <w:left w:val="nil"/>
              <w:right w:val="single" w:sz="4" w:space="0" w:color="auto"/>
            </w:tcBorders>
            <w:shd w:val="clear" w:color="auto" w:fill="auto"/>
            <w:vAlign w:val="center"/>
            <w:hideMark/>
          </w:tcPr>
          <w:p w:rsidR="00343696" w:rsidRPr="00F21499" w:rsidRDefault="00343696" w:rsidP="00F1113C">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noWrap/>
            <w:vAlign w:val="center"/>
            <w:hideMark/>
          </w:tcPr>
          <w:p w:rsidR="00343696" w:rsidRPr="00F21499" w:rsidRDefault="00343696" w:rsidP="00F1113C">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343696" w:rsidRPr="00F21499" w:rsidRDefault="00343696" w:rsidP="00F1113C">
            <w:pPr>
              <w:jc w:val="center"/>
              <w:rPr>
                <w:rFonts w:ascii="Times New Roman" w:hAnsi="Times New Roman" w:cs="Times New Roman"/>
                <w:color w:val="000000"/>
              </w:rPr>
            </w:pPr>
          </w:p>
        </w:tc>
        <w:tc>
          <w:tcPr>
            <w:tcW w:w="1466" w:type="dxa"/>
            <w:vMerge/>
            <w:tcBorders>
              <w:left w:val="nil"/>
              <w:right w:val="single" w:sz="4" w:space="0" w:color="auto"/>
            </w:tcBorders>
            <w:shd w:val="clear" w:color="auto" w:fill="auto"/>
            <w:vAlign w:val="center"/>
            <w:hideMark/>
          </w:tcPr>
          <w:p w:rsidR="00343696" w:rsidRPr="00F21499" w:rsidRDefault="00343696" w:rsidP="00F1113C">
            <w:pPr>
              <w:jc w:val="center"/>
              <w:rPr>
                <w:rFonts w:ascii="Times New Roman" w:hAnsi="Times New Roman" w:cs="Times New Roman"/>
                <w:bCs/>
                <w:iCs/>
                <w:color w:val="000000"/>
              </w:rPr>
            </w:pPr>
          </w:p>
        </w:tc>
      </w:tr>
      <w:tr w:rsidR="00343696" w:rsidRPr="0019563E" w:rsidTr="00F1113C">
        <w:trPr>
          <w:trHeight w:val="226"/>
        </w:trPr>
        <w:tc>
          <w:tcPr>
            <w:tcW w:w="724" w:type="dxa"/>
            <w:vMerge/>
            <w:tcBorders>
              <w:left w:val="single" w:sz="4" w:space="0" w:color="auto"/>
              <w:bottom w:val="single" w:sz="4" w:space="0" w:color="auto"/>
              <w:right w:val="single" w:sz="4" w:space="0" w:color="auto"/>
            </w:tcBorders>
            <w:shd w:val="clear" w:color="auto" w:fill="auto"/>
            <w:vAlign w:val="center"/>
            <w:hideMark/>
          </w:tcPr>
          <w:p w:rsidR="00343696" w:rsidRDefault="00343696" w:rsidP="00F1113C">
            <w:pPr>
              <w:jc w:val="center"/>
              <w:rPr>
                <w:b/>
                <w:bCs/>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rsidR="00343696" w:rsidRDefault="00343696" w:rsidP="00F1113C">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Ксилол</w:t>
            </w:r>
            <w:r>
              <w:rPr>
                <w:rFonts w:ascii="Times New Roman" w:hAnsi="Times New Roman" w:cs="Times New Roman"/>
              </w:rPr>
              <w:t xml:space="preserve"> </w:t>
            </w:r>
            <w:r w:rsidRPr="00BB0870">
              <w:rPr>
                <w:rFonts w:ascii="Times New Roman" w:hAnsi="Times New Roman" w:cs="Times New Roman"/>
              </w:rPr>
              <w:t>(</w:t>
            </w:r>
            <w:proofErr w:type="spellStart"/>
            <w:r w:rsidRPr="00BB0870">
              <w:rPr>
                <w:rFonts w:ascii="Times New Roman" w:hAnsi="Times New Roman" w:cs="Times New Roman"/>
              </w:rPr>
              <w:t>биоклир</w:t>
            </w:r>
            <w:proofErr w:type="spellEnd"/>
            <w:r w:rsidRPr="00BB0870">
              <w:rPr>
                <w:rFonts w:ascii="Times New Roman" w:hAnsi="Times New Roman" w:cs="Times New Roman"/>
              </w:rPr>
              <w:t xml:space="preserve"> - заменитель ксилола)</w:t>
            </w:r>
          </w:p>
        </w:tc>
        <w:tc>
          <w:tcPr>
            <w:tcW w:w="4120" w:type="dxa"/>
            <w:tcBorders>
              <w:top w:val="nil"/>
              <w:left w:val="nil"/>
              <w:bottom w:val="single" w:sz="4" w:space="0" w:color="auto"/>
              <w:right w:val="single" w:sz="4" w:space="0" w:color="auto"/>
            </w:tcBorders>
            <w:shd w:val="clear" w:color="auto" w:fill="auto"/>
            <w:hideMark/>
          </w:tcPr>
          <w:p w:rsidR="00343696" w:rsidRPr="00BB0870" w:rsidRDefault="00343696" w:rsidP="00F1113C">
            <w:pPr>
              <w:rPr>
                <w:rFonts w:ascii="Times New Roman" w:hAnsi="Times New Roman" w:cs="Times New Roman"/>
              </w:rPr>
            </w:pPr>
            <w:r w:rsidRPr="00BB0870">
              <w:rPr>
                <w:rFonts w:ascii="Times New Roman" w:hAnsi="Times New Roman" w:cs="Times New Roman"/>
              </w:rPr>
              <w:t>2,5</w:t>
            </w:r>
            <w:r>
              <w:rPr>
                <w:rFonts w:ascii="Times New Roman" w:hAnsi="Times New Roman" w:cs="Times New Roman"/>
              </w:rPr>
              <w:t xml:space="preserve"> </w:t>
            </w:r>
            <w:r w:rsidRPr="00BB0870">
              <w:rPr>
                <w:rFonts w:ascii="Times New Roman" w:hAnsi="Times New Roman" w:cs="Times New Roman"/>
              </w:rPr>
              <w:t>мл на 1 тест</w:t>
            </w:r>
          </w:p>
        </w:tc>
        <w:tc>
          <w:tcPr>
            <w:tcW w:w="1076" w:type="dxa"/>
            <w:vMerge/>
            <w:tcBorders>
              <w:left w:val="nil"/>
              <w:bottom w:val="single" w:sz="4" w:space="0" w:color="auto"/>
              <w:right w:val="single" w:sz="4" w:space="0" w:color="auto"/>
            </w:tcBorders>
            <w:shd w:val="clear" w:color="auto" w:fill="auto"/>
            <w:vAlign w:val="center"/>
            <w:hideMark/>
          </w:tcPr>
          <w:p w:rsidR="00343696" w:rsidRPr="00F21499" w:rsidRDefault="00343696" w:rsidP="00F1113C">
            <w:pPr>
              <w:jc w:val="center"/>
              <w:rPr>
                <w:rFonts w:ascii="Times New Roman" w:hAnsi="Times New Roman" w:cs="Times New Roman"/>
                <w:bCs/>
                <w:iCs/>
                <w:color w:val="000000"/>
              </w:rPr>
            </w:pPr>
          </w:p>
        </w:tc>
        <w:tc>
          <w:tcPr>
            <w:tcW w:w="851" w:type="dxa"/>
            <w:vMerge/>
            <w:tcBorders>
              <w:left w:val="nil"/>
              <w:bottom w:val="single" w:sz="4" w:space="0" w:color="auto"/>
              <w:right w:val="single" w:sz="4" w:space="0" w:color="auto"/>
            </w:tcBorders>
            <w:shd w:val="clear" w:color="auto" w:fill="auto"/>
            <w:vAlign w:val="center"/>
            <w:hideMark/>
          </w:tcPr>
          <w:p w:rsidR="00343696" w:rsidRPr="00F21499" w:rsidRDefault="00343696" w:rsidP="00F1113C">
            <w:pPr>
              <w:jc w:val="center"/>
              <w:rPr>
                <w:rFonts w:ascii="Times New Roman" w:hAnsi="Times New Roman" w:cs="Times New Roman"/>
              </w:rPr>
            </w:pPr>
          </w:p>
        </w:tc>
        <w:tc>
          <w:tcPr>
            <w:tcW w:w="1134" w:type="dxa"/>
            <w:vMerge/>
            <w:tcBorders>
              <w:left w:val="nil"/>
              <w:bottom w:val="single" w:sz="4" w:space="0" w:color="auto"/>
              <w:right w:val="single" w:sz="4" w:space="0" w:color="auto"/>
            </w:tcBorders>
            <w:shd w:val="clear" w:color="auto" w:fill="auto"/>
            <w:noWrap/>
            <w:vAlign w:val="center"/>
            <w:hideMark/>
          </w:tcPr>
          <w:p w:rsidR="00343696" w:rsidRPr="00F21499" w:rsidRDefault="00343696" w:rsidP="00F1113C">
            <w:pPr>
              <w:jc w:val="center"/>
              <w:rPr>
                <w:rFonts w:ascii="Times New Roman" w:hAnsi="Times New Roman" w:cs="Times New Roman"/>
                <w:color w:val="000000"/>
              </w:rPr>
            </w:pPr>
          </w:p>
        </w:tc>
        <w:tc>
          <w:tcPr>
            <w:tcW w:w="1466" w:type="dxa"/>
            <w:vMerge/>
            <w:tcBorders>
              <w:left w:val="nil"/>
              <w:bottom w:val="single" w:sz="4" w:space="0" w:color="auto"/>
              <w:right w:val="single" w:sz="4" w:space="0" w:color="auto"/>
            </w:tcBorders>
            <w:shd w:val="clear" w:color="auto" w:fill="auto"/>
            <w:vAlign w:val="center"/>
            <w:hideMark/>
          </w:tcPr>
          <w:p w:rsidR="00343696" w:rsidRPr="00F21499" w:rsidRDefault="00343696" w:rsidP="00F1113C">
            <w:pPr>
              <w:jc w:val="center"/>
              <w:rPr>
                <w:rFonts w:ascii="Times New Roman" w:hAnsi="Times New Roman" w:cs="Times New Roman"/>
                <w:bCs/>
                <w:iCs/>
                <w:color w:val="000000"/>
              </w:rPr>
            </w:pPr>
          </w:p>
        </w:tc>
      </w:tr>
      <w:tr w:rsidR="00343696" w:rsidRPr="0019563E" w:rsidTr="00F1113C">
        <w:trPr>
          <w:trHeight w:val="271"/>
        </w:trPr>
        <w:tc>
          <w:tcPr>
            <w:tcW w:w="2850" w:type="dxa"/>
            <w:gridSpan w:val="2"/>
            <w:tcBorders>
              <w:top w:val="nil"/>
              <w:left w:val="single" w:sz="4" w:space="0" w:color="auto"/>
              <w:bottom w:val="single" w:sz="4" w:space="0" w:color="auto"/>
              <w:right w:val="single" w:sz="4" w:space="0" w:color="auto"/>
            </w:tcBorders>
            <w:shd w:val="clear" w:color="auto" w:fill="auto"/>
            <w:vAlign w:val="bottom"/>
            <w:hideMark/>
          </w:tcPr>
          <w:p w:rsidR="00343696" w:rsidRDefault="00343696" w:rsidP="00F1113C">
            <w:pPr>
              <w:rPr>
                <w:color w:val="000000"/>
                <w:sz w:val="18"/>
                <w:szCs w:val="18"/>
              </w:rPr>
            </w:pPr>
            <w:r w:rsidRPr="00F17D21">
              <w:rPr>
                <w:rFonts w:ascii="Times New Roman" w:hAnsi="Times New Roman" w:cs="Times New Roman"/>
                <w:b/>
                <w:color w:val="000000"/>
              </w:rPr>
              <w:t>ИТОГО</w:t>
            </w:r>
          </w:p>
        </w:tc>
        <w:tc>
          <w:tcPr>
            <w:tcW w:w="3969" w:type="dxa"/>
            <w:tcBorders>
              <w:top w:val="nil"/>
              <w:left w:val="nil"/>
              <w:bottom w:val="single" w:sz="4" w:space="0" w:color="auto"/>
              <w:right w:val="single" w:sz="4" w:space="0" w:color="auto"/>
            </w:tcBorders>
            <w:shd w:val="clear" w:color="auto" w:fill="auto"/>
            <w:hideMark/>
          </w:tcPr>
          <w:p w:rsidR="00343696" w:rsidRPr="00F17D21" w:rsidRDefault="00343696" w:rsidP="00F1113C">
            <w:pPr>
              <w:rPr>
                <w:rFonts w:ascii="Times New Roman" w:hAnsi="Times New Roman" w:cs="Times New Roman"/>
                <w:b/>
                <w:color w:val="000000"/>
              </w:rPr>
            </w:pPr>
          </w:p>
        </w:tc>
        <w:tc>
          <w:tcPr>
            <w:tcW w:w="4120" w:type="dxa"/>
            <w:tcBorders>
              <w:top w:val="nil"/>
              <w:left w:val="nil"/>
              <w:bottom w:val="single" w:sz="4" w:space="0" w:color="auto"/>
              <w:right w:val="single" w:sz="4" w:space="0" w:color="auto"/>
            </w:tcBorders>
            <w:shd w:val="clear" w:color="auto" w:fill="auto"/>
            <w:hideMark/>
          </w:tcPr>
          <w:p w:rsidR="00343696" w:rsidRPr="00F17D21" w:rsidRDefault="00343696" w:rsidP="00F1113C">
            <w:pPr>
              <w:rPr>
                <w:color w:val="000000"/>
              </w:rPr>
            </w:pPr>
          </w:p>
        </w:tc>
        <w:tc>
          <w:tcPr>
            <w:tcW w:w="1076" w:type="dxa"/>
            <w:tcBorders>
              <w:top w:val="nil"/>
              <w:left w:val="nil"/>
              <w:bottom w:val="single" w:sz="4" w:space="0" w:color="auto"/>
              <w:right w:val="single" w:sz="4" w:space="0" w:color="auto"/>
            </w:tcBorders>
            <w:shd w:val="clear" w:color="auto" w:fill="auto"/>
            <w:vAlign w:val="center"/>
            <w:hideMark/>
          </w:tcPr>
          <w:p w:rsidR="00343696" w:rsidRPr="00F17D21" w:rsidRDefault="00343696" w:rsidP="00F1113C">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343696" w:rsidRPr="00F17D21" w:rsidRDefault="00343696" w:rsidP="00F1113C">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343696" w:rsidRPr="00F17D21" w:rsidRDefault="00343696" w:rsidP="00F1113C">
            <w:pPr>
              <w:jc w:val="center"/>
              <w:rPr>
                <w:color w:val="000000"/>
              </w:rPr>
            </w:pPr>
          </w:p>
        </w:tc>
        <w:tc>
          <w:tcPr>
            <w:tcW w:w="1466" w:type="dxa"/>
            <w:tcBorders>
              <w:top w:val="nil"/>
              <w:left w:val="nil"/>
              <w:bottom w:val="single" w:sz="4" w:space="0" w:color="auto"/>
              <w:right w:val="single" w:sz="4" w:space="0" w:color="auto"/>
            </w:tcBorders>
            <w:shd w:val="clear" w:color="auto" w:fill="auto"/>
            <w:vAlign w:val="center"/>
            <w:hideMark/>
          </w:tcPr>
          <w:p w:rsidR="00343696" w:rsidRPr="00BB0870" w:rsidRDefault="00343696" w:rsidP="00FE1A29">
            <w:pPr>
              <w:jc w:val="center"/>
              <w:rPr>
                <w:rFonts w:ascii="Times New Roman" w:hAnsi="Times New Roman" w:cs="Times New Roman"/>
                <w:b/>
                <w:color w:val="000000"/>
              </w:rPr>
            </w:pPr>
            <w:r w:rsidRPr="00BB0870">
              <w:rPr>
                <w:rFonts w:ascii="Times New Roman" w:hAnsi="Times New Roman" w:cs="Times New Roman"/>
                <w:b/>
                <w:color w:val="000000"/>
              </w:rPr>
              <w:t>3 3</w:t>
            </w:r>
            <w:r w:rsidR="00FE1A29">
              <w:rPr>
                <w:rFonts w:ascii="Times New Roman" w:hAnsi="Times New Roman" w:cs="Times New Roman"/>
                <w:b/>
                <w:color w:val="000000"/>
              </w:rPr>
              <w:t>13</w:t>
            </w:r>
            <w:r w:rsidRPr="00BB0870">
              <w:rPr>
                <w:rFonts w:ascii="Times New Roman" w:hAnsi="Times New Roman" w:cs="Times New Roman"/>
                <w:b/>
                <w:color w:val="000000"/>
              </w:rPr>
              <w:t xml:space="preserve"> </w:t>
            </w:r>
            <w:r w:rsidR="00FE1A29">
              <w:rPr>
                <w:rFonts w:ascii="Times New Roman" w:hAnsi="Times New Roman" w:cs="Times New Roman"/>
                <w:b/>
                <w:color w:val="000000"/>
              </w:rPr>
              <w:t>0</w:t>
            </w:r>
            <w:r w:rsidRPr="00BB0870">
              <w:rPr>
                <w:rFonts w:ascii="Times New Roman" w:hAnsi="Times New Roman" w:cs="Times New Roman"/>
                <w:b/>
                <w:color w:val="000000"/>
              </w:rPr>
              <w:t>00</w:t>
            </w:r>
          </w:p>
        </w:tc>
      </w:tr>
    </w:tbl>
    <w:p w:rsidR="00343696" w:rsidRDefault="00343696" w:rsidP="00343696">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343696">
        <w:rPr>
          <w:spacing w:val="2"/>
          <w:sz w:val="22"/>
          <w:szCs w:val="22"/>
        </w:rPr>
        <w:t xml:space="preserve">ул. </w:t>
      </w:r>
      <w:proofErr w:type="spellStart"/>
      <w:r w:rsidR="00343696">
        <w:rPr>
          <w:spacing w:val="2"/>
          <w:sz w:val="22"/>
          <w:szCs w:val="22"/>
        </w:rPr>
        <w:t>Акана</w:t>
      </w:r>
      <w:proofErr w:type="spellEnd"/>
      <w:r w:rsidR="00343696">
        <w:rPr>
          <w:spacing w:val="2"/>
          <w:sz w:val="22"/>
          <w:szCs w:val="22"/>
        </w:rPr>
        <w:t xml:space="preserve"> Серы, 1 Б</w:t>
      </w:r>
      <w:r w:rsidR="006001F2" w:rsidRPr="008B0403">
        <w:rPr>
          <w:spacing w:val="2"/>
          <w:sz w:val="22"/>
          <w:szCs w:val="22"/>
        </w:rPr>
        <w:t xml:space="preserve">. </w:t>
      </w:r>
      <w:proofErr w:type="spellStart"/>
      <w:r w:rsidR="00343696">
        <w:rPr>
          <w:spacing w:val="2"/>
          <w:sz w:val="22"/>
          <w:szCs w:val="22"/>
        </w:rPr>
        <w:t>распредпункт</w:t>
      </w:r>
      <w:proofErr w:type="spellEnd"/>
      <w:r w:rsidR="00CE1929">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B575E" w:rsidRPr="00340C40" w:rsidRDefault="005C27C4" w:rsidP="00CB575E">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r w:rsidR="00343696" w:rsidRPr="0082776F">
        <w:rPr>
          <w:sz w:val="22"/>
          <w:szCs w:val="22"/>
        </w:rPr>
        <w:t>в течени</w:t>
      </w:r>
      <w:proofErr w:type="gramStart"/>
      <w:r w:rsidR="00343696" w:rsidRPr="0082776F">
        <w:rPr>
          <w:sz w:val="22"/>
          <w:szCs w:val="22"/>
        </w:rPr>
        <w:t>и</w:t>
      </w:r>
      <w:proofErr w:type="gramEnd"/>
      <w:r w:rsidR="00343696" w:rsidRPr="0082776F">
        <w:rPr>
          <w:sz w:val="22"/>
          <w:szCs w:val="22"/>
        </w:rPr>
        <w:t xml:space="preserve"> 15</w:t>
      </w:r>
      <w:r w:rsidR="00343696">
        <w:rPr>
          <w:sz w:val="22"/>
          <w:szCs w:val="22"/>
        </w:rPr>
        <w:t xml:space="preserve"> календарных</w:t>
      </w:r>
      <w:r w:rsidR="00343696" w:rsidRPr="0082776F">
        <w:rPr>
          <w:sz w:val="22"/>
          <w:szCs w:val="22"/>
        </w:rPr>
        <w:t xml:space="preserve"> дней</w:t>
      </w:r>
      <w:r w:rsidR="00343696">
        <w:rPr>
          <w:sz w:val="22"/>
          <w:szCs w:val="22"/>
        </w:rPr>
        <w:t xml:space="preserve"> со дня подписания договора</w:t>
      </w:r>
      <w:r w:rsidR="00343696" w:rsidRPr="0082776F">
        <w:rPr>
          <w:sz w:val="22"/>
          <w:szCs w:val="22"/>
        </w:rPr>
        <w:t>.</w:t>
      </w:r>
    </w:p>
    <w:p w:rsidR="00CB575E" w:rsidRPr="00340C40"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lastRenderedPageBreak/>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5632">
        <w:rPr>
          <w:spacing w:val="2"/>
          <w:sz w:val="22"/>
          <w:szCs w:val="22"/>
        </w:rPr>
        <w:t>1</w:t>
      </w:r>
      <w:r w:rsidR="004D2156">
        <w:rPr>
          <w:spacing w:val="2"/>
          <w:sz w:val="22"/>
          <w:szCs w:val="22"/>
        </w:rPr>
        <w:t>8</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4D2156">
        <w:rPr>
          <w:spacing w:val="2"/>
          <w:sz w:val="22"/>
          <w:szCs w:val="22"/>
        </w:rPr>
        <w:t>5</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4D2156">
        <w:rPr>
          <w:spacing w:val="2"/>
          <w:sz w:val="22"/>
          <w:szCs w:val="22"/>
        </w:rPr>
        <w:t>5</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4D2156">
        <w:rPr>
          <w:spacing w:val="2"/>
          <w:sz w:val="22"/>
          <w:szCs w:val="22"/>
        </w:rPr>
        <w:t>5</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4D2156" w:rsidRDefault="004D215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Pr="008E69F2"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8E69F2">
      <w:pPr>
        <w:pStyle w:val="ab"/>
        <w:rPr>
          <w:rFonts w:ascii="Times New Roman" w:hAnsi="Times New Roman"/>
          <w:sz w:val="22"/>
          <w:szCs w:val="22"/>
        </w:rPr>
      </w:pPr>
    </w:p>
    <w:p w:rsidR="000567F6" w:rsidRDefault="000567F6" w:rsidP="000567F6">
      <w:pPr>
        <w:pStyle w:val="ab"/>
        <w:jc w:val="right"/>
        <w:rPr>
          <w:rFonts w:ascii="Times New Roman" w:hAnsi="Times New Roman"/>
          <w:sz w:val="22"/>
          <w:szCs w:val="22"/>
        </w:rPr>
      </w:pPr>
    </w:p>
    <w:p w:rsidR="000567F6" w:rsidRDefault="000567F6" w:rsidP="000567F6">
      <w:pPr>
        <w:pStyle w:val="ab"/>
        <w:rPr>
          <w:rFonts w:ascii="Times New Roman" w:hAnsi="Times New Roman"/>
          <w:sz w:val="22"/>
          <w:szCs w:val="22"/>
        </w:rPr>
      </w:pPr>
    </w:p>
    <w:sectPr w:rsidR="000567F6"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5118A"/>
    <w:rsid w:val="00351DAA"/>
    <w:rsid w:val="003559DD"/>
    <w:rsid w:val="00357EB5"/>
    <w:rsid w:val="00360B24"/>
    <w:rsid w:val="00367DB8"/>
    <w:rsid w:val="00374B27"/>
    <w:rsid w:val="003775E6"/>
    <w:rsid w:val="003826DA"/>
    <w:rsid w:val="00384FAF"/>
    <w:rsid w:val="00394A27"/>
    <w:rsid w:val="003A1EA6"/>
    <w:rsid w:val="003B5CEB"/>
    <w:rsid w:val="003B6676"/>
    <w:rsid w:val="003C1D1E"/>
    <w:rsid w:val="003C1F0F"/>
    <w:rsid w:val="003C210F"/>
    <w:rsid w:val="003C32EE"/>
    <w:rsid w:val="003C6D4C"/>
    <w:rsid w:val="003D21C7"/>
    <w:rsid w:val="003D24DD"/>
    <w:rsid w:val="003D73AF"/>
    <w:rsid w:val="003E0FFC"/>
    <w:rsid w:val="003F568C"/>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41FC"/>
    <w:rsid w:val="00485F5E"/>
    <w:rsid w:val="004902A2"/>
    <w:rsid w:val="004904F8"/>
    <w:rsid w:val="00491096"/>
    <w:rsid w:val="004A1992"/>
    <w:rsid w:val="004A55CF"/>
    <w:rsid w:val="004A6E3A"/>
    <w:rsid w:val="004B0956"/>
    <w:rsid w:val="004B0B6C"/>
    <w:rsid w:val="004B43B6"/>
    <w:rsid w:val="004D081E"/>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9DC"/>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91B52"/>
    <w:rsid w:val="00C91BD2"/>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D6368"/>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10</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452</cp:revision>
  <cp:lastPrinted>2020-02-17T05:04:00Z</cp:lastPrinted>
  <dcterms:created xsi:type="dcterms:W3CDTF">2017-02-20T06:30:00Z</dcterms:created>
  <dcterms:modified xsi:type="dcterms:W3CDTF">2020-02-17T12:27:00Z</dcterms:modified>
</cp:coreProperties>
</file>