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648A9">
        <w:rPr>
          <w:sz w:val="28"/>
          <w:szCs w:val="28"/>
        </w:rPr>
        <w:t>4</w:t>
      </w:r>
      <w:r w:rsidR="00160365">
        <w:rPr>
          <w:sz w:val="28"/>
          <w:szCs w:val="28"/>
        </w:rPr>
        <w:t>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9059C5">
        <w:rPr>
          <w:sz w:val="24"/>
          <w:szCs w:val="24"/>
        </w:rPr>
        <w:t xml:space="preserve">      </w:t>
      </w:r>
      <w:r w:rsidR="003A67FF">
        <w:rPr>
          <w:sz w:val="24"/>
          <w:szCs w:val="24"/>
        </w:rPr>
        <w:t xml:space="preserve">   </w:t>
      </w:r>
      <w:r w:rsidR="00CE1F49">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47320A">
        <w:rPr>
          <w:sz w:val="24"/>
          <w:szCs w:val="24"/>
        </w:rPr>
        <w:t>1</w:t>
      </w:r>
      <w:r w:rsidR="00F648A9">
        <w:rPr>
          <w:sz w:val="24"/>
          <w:szCs w:val="24"/>
        </w:rPr>
        <w:t>6</w:t>
      </w:r>
      <w:r>
        <w:rPr>
          <w:sz w:val="24"/>
          <w:szCs w:val="24"/>
        </w:rPr>
        <w:t xml:space="preserve"> </w:t>
      </w:r>
      <w:r w:rsidR="00B96023">
        <w:rPr>
          <w:sz w:val="24"/>
          <w:szCs w:val="24"/>
        </w:rPr>
        <w:t>июн</w:t>
      </w:r>
      <w:r w:rsidR="00DF01B7">
        <w:rPr>
          <w:sz w:val="24"/>
          <w:szCs w:val="24"/>
        </w:rPr>
        <w:t>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0" w:type="auto"/>
        <w:tblInd w:w="93" w:type="dxa"/>
        <w:tblLayout w:type="fixed"/>
        <w:tblLook w:val="04A0"/>
      </w:tblPr>
      <w:tblGrid>
        <w:gridCol w:w="755"/>
        <w:gridCol w:w="2521"/>
        <w:gridCol w:w="8363"/>
        <w:gridCol w:w="793"/>
        <w:gridCol w:w="709"/>
        <w:gridCol w:w="992"/>
        <w:gridCol w:w="1289"/>
      </w:tblGrid>
      <w:tr w:rsidR="0043677C" w:rsidRPr="00A261C5" w:rsidTr="00F648A9">
        <w:trPr>
          <w:trHeight w:val="630"/>
        </w:trPr>
        <w:tc>
          <w:tcPr>
            <w:tcW w:w="7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3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F648A9">
        <w:trPr>
          <w:trHeight w:val="378"/>
        </w:trPr>
        <w:tc>
          <w:tcPr>
            <w:tcW w:w="755"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9059C5" w:rsidRPr="00A261C5" w:rsidTr="00F648A9">
        <w:trPr>
          <w:trHeight w:val="269"/>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9059C5" w:rsidRPr="00A261C5" w:rsidRDefault="009059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21" w:type="dxa"/>
            <w:tcBorders>
              <w:top w:val="nil"/>
              <w:left w:val="nil"/>
              <w:bottom w:val="single" w:sz="4" w:space="0" w:color="auto"/>
              <w:right w:val="single" w:sz="4" w:space="0" w:color="auto"/>
            </w:tcBorders>
            <w:shd w:val="clear" w:color="auto" w:fill="auto"/>
            <w:hideMark/>
          </w:tcPr>
          <w:p w:rsidR="009059C5" w:rsidRPr="009059C5" w:rsidRDefault="00F648A9">
            <w:pPr>
              <w:rPr>
                <w:rFonts w:ascii="Times New Roman" w:hAnsi="Times New Roman" w:cs="Times New Roman"/>
                <w:color w:val="000000"/>
                <w:sz w:val="24"/>
                <w:szCs w:val="24"/>
              </w:rPr>
            </w:pPr>
            <w:r w:rsidRPr="00F648A9">
              <w:rPr>
                <w:rFonts w:ascii="Times New Roman" w:hAnsi="Times New Roman" w:cs="Times New Roman"/>
                <w:color w:val="000000"/>
                <w:sz w:val="24"/>
                <w:szCs w:val="24"/>
              </w:rPr>
              <w:t xml:space="preserve">Катетер для </w:t>
            </w:r>
            <w:proofErr w:type="spellStart"/>
            <w:r w:rsidRPr="00F648A9">
              <w:rPr>
                <w:rFonts w:ascii="Times New Roman" w:hAnsi="Times New Roman" w:cs="Times New Roman"/>
                <w:color w:val="000000"/>
                <w:sz w:val="24"/>
                <w:szCs w:val="24"/>
              </w:rPr>
              <w:t>эмболектомии</w:t>
            </w:r>
            <w:proofErr w:type="spellEnd"/>
          </w:p>
        </w:tc>
        <w:tc>
          <w:tcPr>
            <w:tcW w:w="8363" w:type="dxa"/>
            <w:tcBorders>
              <w:top w:val="nil"/>
              <w:left w:val="nil"/>
              <w:bottom w:val="single" w:sz="4" w:space="0" w:color="auto"/>
              <w:right w:val="single" w:sz="4" w:space="0" w:color="auto"/>
            </w:tcBorders>
            <w:shd w:val="clear" w:color="auto" w:fill="auto"/>
            <w:hideMark/>
          </w:tcPr>
          <w:p w:rsidR="00F648A9" w:rsidRPr="00F648A9" w:rsidRDefault="00F648A9" w:rsidP="00F648A9">
            <w:pPr>
              <w:rPr>
                <w:rFonts w:ascii="Times New Roman" w:hAnsi="Times New Roman" w:cs="Times New Roman"/>
              </w:rPr>
            </w:pPr>
            <w:r w:rsidRPr="00F648A9">
              <w:rPr>
                <w:rFonts w:ascii="Times New Roman" w:hAnsi="Times New Roman" w:cs="Times New Roman"/>
              </w:rPr>
              <w:t xml:space="preserve">Катетер для </w:t>
            </w:r>
            <w:proofErr w:type="spellStart"/>
            <w:r w:rsidRPr="00F648A9">
              <w:rPr>
                <w:rFonts w:ascii="Times New Roman" w:hAnsi="Times New Roman" w:cs="Times New Roman"/>
              </w:rPr>
              <w:t>эмболектомии</w:t>
            </w:r>
            <w:proofErr w:type="spellEnd"/>
            <w:r w:rsidRPr="00F648A9">
              <w:rPr>
                <w:rFonts w:ascii="Times New Roman" w:hAnsi="Times New Roman" w:cs="Times New Roman"/>
              </w:rPr>
              <w:t xml:space="preserve"> одноканальный № 3</w:t>
            </w:r>
          </w:p>
          <w:p w:rsidR="009059C5" w:rsidRPr="009059C5" w:rsidRDefault="00F648A9" w:rsidP="00F648A9">
            <w:r w:rsidRPr="00F648A9">
              <w:rPr>
                <w:rFonts w:ascii="Times New Roman" w:hAnsi="Times New Roman" w:cs="Times New Roman"/>
              </w:rPr>
              <w:t>Длина 40, 60 и 80 см.</w:t>
            </w:r>
          </w:p>
        </w:tc>
        <w:tc>
          <w:tcPr>
            <w:tcW w:w="793" w:type="dxa"/>
            <w:tcBorders>
              <w:top w:val="nil"/>
              <w:left w:val="nil"/>
              <w:bottom w:val="single" w:sz="4" w:space="0" w:color="auto"/>
              <w:right w:val="single" w:sz="4" w:space="0" w:color="auto"/>
            </w:tcBorders>
            <w:shd w:val="clear" w:color="auto" w:fill="auto"/>
            <w:vAlign w:val="center"/>
            <w:hideMark/>
          </w:tcPr>
          <w:p w:rsidR="009059C5" w:rsidRPr="009059C5" w:rsidRDefault="00F648A9" w:rsidP="009059C5">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9059C5" w:rsidRPr="009059C5" w:rsidRDefault="00F648A9" w:rsidP="009059C5">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nil"/>
              <w:left w:val="nil"/>
              <w:bottom w:val="single" w:sz="4" w:space="0" w:color="auto"/>
              <w:right w:val="single" w:sz="4" w:space="0" w:color="auto"/>
            </w:tcBorders>
            <w:shd w:val="clear" w:color="000000" w:fill="FFFFFF"/>
            <w:vAlign w:val="center"/>
            <w:hideMark/>
          </w:tcPr>
          <w:p w:rsidR="009059C5" w:rsidRPr="009059C5" w:rsidRDefault="00F648A9" w:rsidP="009059C5">
            <w:pPr>
              <w:jc w:val="center"/>
              <w:rPr>
                <w:rFonts w:ascii="Times New Roman" w:hAnsi="Times New Roman" w:cs="Times New Roman"/>
                <w:sz w:val="24"/>
                <w:szCs w:val="24"/>
              </w:rPr>
            </w:pPr>
            <w:r>
              <w:rPr>
                <w:rFonts w:ascii="Times New Roman" w:hAnsi="Times New Roman" w:cs="Times New Roman"/>
                <w:sz w:val="24"/>
                <w:szCs w:val="24"/>
              </w:rPr>
              <w:t>22 000</w:t>
            </w:r>
          </w:p>
        </w:tc>
        <w:tc>
          <w:tcPr>
            <w:tcW w:w="1289" w:type="dxa"/>
            <w:tcBorders>
              <w:top w:val="nil"/>
              <w:left w:val="nil"/>
              <w:bottom w:val="single" w:sz="4" w:space="0" w:color="auto"/>
              <w:right w:val="single" w:sz="4" w:space="0" w:color="auto"/>
            </w:tcBorders>
            <w:shd w:val="clear" w:color="000000" w:fill="FFFFFF"/>
            <w:vAlign w:val="center"/>
            <w:hideMark/>
          </w:tcPr>
          <w:p w:rsidR="009059C5" w:rsidRPr="009059C5" w:rsidRDefault="00F648A9" w:rsidP="009059C5">
            <w:pPr>
              <w:jc w:val="center"/>
              <w:rPr>
                <w:rFonts w:ascii="Times New Roman" w:hAnsi="Times New Roman" w:cs="Times New Roman"/>
                <w:sz w:val="24"/>
                <w:szCs w:val="24"/>
              </w:rPr>
            </w:pPr>
            <w:r>
              <w:rPr>
                <w:rFonts w:ascii="Times New Roman" w:hAnsi="Times New Roman" w:cs="Times New Roman"/>
                <w:sz w:val="24"/>
                <w:szCs w:val="24"/>
              </w:rPr>
              <w:t>880 000</w:t>
            </w:r>
          </w:p>
        </w:tc>
      </w:tr>
      <w:tr w:rsidR="009059C5" w:rsidRPr="00A261C5" w:rsidTr="00F648A9">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9059C5" w:rsidRPr="00A261C5" w:rsidRDefault="009059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w:t>
            </w:r>
          </w:p>
        </w:tc>
        <w:tc>
          <w:tcPr>
            <w:tcW w:w="2521" w:type="dxa"/>
            <w:tcBorders>
              <w:top w:val="nil"/>
              <w:left w:val="nil"/>
              <w:bottom w:val="single" w:sz="4" w:space="0" w:color="auto"/>
              <w:right w:val="single" w:sz="4" w:space="0" w:color="auto"/>
            </w:tcBorders>
            <w:shd w:val="clear" w:color="000000" w:fill="FFFFFF"/>
            <w:hideMark/>
          </w:tcPr>
          <w:p w:rsidR="009059C5" w:rsidRPr="009059C5" w:rsidRDefault="00F648A9">
            <w:pPr>
              <w:rPr>
                <w:rFonts w:ascii="Times New Roman" w:hAnsi="Times New Roman" w:cs="Times New Roman"/>
                <w:color w:val="000000"/>
                <w:sz w:val="24"/>
                <w:szCs w:val="24"/>
              </w:rPr>
            </w:pPr>
            <w:r w:rsidRPr="00F648A9">
              <w:rPr>
                <w:rFonts w:ascii="Times New Roman" w:hAnsi="Times New Roman" w:cs="Times New Roman"/>
                <w:color w:val="000000"/>
                <w:sz w:val="24"/>
                <w:szCs w:val="24"/>
              </w:rPr>
              <w:t xml:space="preserve">Катетер для </w:t>
            </w:r>
            <w:proofErr w:type="spellStart"/>
            <w:r w:rsidRPr="00F648A9">
              <w:rPr>
                <w:rFonts w:ascii="Times New Roman" w:hAnsi="Times New Roman" w:cs="Times New Roman"/>
                <w:color w:val="000000"/>
                <w:sz w:val="24"/>
                <w:szCs w:val="24"/>
              </w:rPr>
              <w:t>эмболектомии</w:t>
            </w:r>
            <w:proofErr w:type="spellEnd"/>
          </w:p>
        </w:tc>
        <w:tc>
          <w:tcPr>
            <w:tcW w:w="8363" w:type="dxa"/>
            <w:tcBorders>
              <w:top w:val="nil"/>
              <w:left w:val="nil"/>
              <w:bottom w:val="single" w:sz="4" w:space="0" w:color="auto"/>
              <w:right w:val="single" w:sz="4" w:space="0" w:color="auto"/>
            </w:tcBorders>
            <w:shd w:val="clear" w:color="000000" w:fill="FFFFFF"/>
            <w:hideMark/>
          </w:tcPr>
          <w:p w:rsidR="00F648A9" w:rsidRPr="00F648A9" w:rsidRDefault="00F648A9" w:rsidP="00F648A9">
            <w:pPr>
              <w:rPr>
                <w:rFonts w:ascii="Times New Roman" w:hAnsi="Times New Roman" w:cs="Times New Roman"/>
              </w:rPr>
            </w:pPr>
            <w:r w:rsidRPr="00F648A9">
              <w:rPr>
                <w:rFonts w:ascii="Times New Roman" w:hAnsi="Times New Roman" w:cs="Times New Roman"/>
              </w:rPr>
              <w:t xml:space="preserve">Катетер для </w:t>
            </w:r>
            <w:proofErr w:type="spellStart"/>
            <w:r w:rsidRPr="00F648A9">
              <w:rPr>
                <w:rFonts w:ascii="Times New Roman" w:hAnsi="Times New Roman" w:cs="Times New Roman"/>
              </w:rPr>
              <w:t>эмболектомии</w:t>
            </w:r>
            <w:proofErr w:type="spellEnd"/>
            <w:r w:rsidRPr="00F648A9">
              <w:rPr>
                <w:rFonts w:ascii="Times New Roman" w:hAnsi="Times New Roman" w:cs="Times New Roman"/>
              </w:rPr>
              <w:t xml:space="preserve"> </w:t>
            </w:r>
            <w:r>
              <w:rPr>
                <w:rFonts w:ascii="Times New Roman" w:hAnsi="Times New Roman" w:cs="Times New Roman"/>
              </w:rPr>
              <w:t>одноканальный № 4</w:t>
            </w:r>
          </w:p>
          <w:p w:rsidR="009059C5" w:rsidRPr="009059C5" w:rsidRDefault="00F648A9" w:rsidP="00F648A9">
            <w:pPr>
              <w:rPr>
                <w:rFonts w:ascii="Times New Roman" w:hAnsi="Times New Roman" w:cs="Times New Roman"/>
                <w:color w:val="000000"/>
                <w:sz w:val="24"/>
                <w:szCs w:val="24"/>
              </w:rPr>
            </w:pPr>
            <w:r w:rsidRPr="00F648A9">
              <w:rPr>
                <w:rFonts w:ascii="Times New Roman" w:hAnsi="Times New Roman" w:cs="Times New Roman"/>
              </w:rPr>
              <w:t>Длина 40, 60 и 80 см</w:t>
            </w:r>
            <w:r>
              <w:rPr>
                <w:rFonts w:ascii="Times New Roman" w:hAnsi="Times New Roman" w:cs="Times New Roman"/>
              </w:rPr>
              <w:t>.</w:t>
            </w:r>
          </w:p>
        </w:tc>
        <w:tc>
          <w:tcPr>
            <w:tcW w:w="793" w:type="dxa"/>
            <w:tcBorders>
              <w:top w:val="nil"/>
              <w:left w:val="nil"/>
              <w:bottom w:val="single" w:sz="4" w:space="0" w:color="auto"/>
              <w:right w:val="single" w:sz="4" w:space="0" w:color="auto"/>
            </w:tcBorders>
            <w:shd w:val="clear" w:color="000000" w:fill="FFFFFF"/>
            <w:vAlign w:val="center"/>
            <w:hideMark/>
          </w:tcPr>
          <w:p w:rsidR="009059C5" w:rsidRPr="009059C5" w:rsidRDefault="00F648A9" w:rsidP="009059C5">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9059C5" w:rsidRPr="009059C5" w:rsidRDefault="00F648A9" w:rsidP="009059C5">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nil"/>
              <w:left w:val="nil"/>
              <w:bottom w:val="single" w:sz="4" w:space="0" w:color="auto"/>
              <w:right w:val="single" w:sz="4" w:space="0" w:color="auto"/>
            </w:tcBorders>
            <w:shd w:val="clear" w:color="000000" w:fill="FFFFFF"/>
            <w:vAlign w:val="center"/>
            <w:hideMark/>
          </w:tcPr>
          <w:p w:rsidR="009059C5" w:rsidRPr="009059C5" w:rsidRDefault="00F648A9" w:rsidP="009059C5">
            <w:pPr>
              <w:jc w:val="center"/>
              <w:rPr>
                <w:rFonts w:ascii="Times New Roman" w:hAnsi="Times New Roman" w:cs="Times New Roman"/>
                <w:sz w:val="24"/>
                <w:szCs w:val="24"/>
              </w:rPr>
            </w:pPr>
            <w:r>
              <w:rPr>
                <w:rFonts w:ascii="Times New Roman" w:hAnsi="Times New Roman" w:cs="Times New Roman"/>
                <w:sz w:val="24"/>
                <w:szCs w:val="24"/>
              </w:rPr>
              <w:t>22 000</w:t>
            </w:r>
          </w:p>
        </w:tc>
        <w:tc>
          <w:tcPr>
            <w:tcW w:w="1289" w:type="dxa"/>
            <w:tcBorders>
              <w:top w:val="nil"/>
              <w:left w:val="nil"/>
              <w:bottom w:val="single" w:sz="4" w:space="0" w:color="auto"/>
              <w:right w:val="single" w:sz="4" w:space="0" w:color="auto"/>
            </w:tcBorders>
            <w:shd w:val="clear" w:color="000000" w:fill="FFFFFF"/>
            <w:vAlign w:val="center"/>
            <w:hideMark/>
          </w:tcPr>
          <w:p w:rsidR="009059C5" w:rsidRPr="009059C5" w:rsidRDefault="00F648A9" w:rsidP="009059C5">
            <w:pPr>
              <w:jc w:val="center"/>
              <w:rPr>
                <w:rFonts w:ascii="Times New Roman" w:hAnsi="Times New Roman" w:cs="Times New Roman"/>
                <w:sz w:val="24"/>
                <w:szCs w:val="24"/>
              </w:rPr>
            </w:pPr>
            <w:r>
              <w:rPr>
                <w:rFonts w:ascii="Times New Roman" w:hAnsi="Times New Roman" w:cs="Times New Roman"/>
                <w:sz w:val="24"/>
                <w:szCs w:val="24"/>
              </w:rPr>
              <w:t>880 000</w:t>
            </w:r>
          </w:p>
        </w:tc>
      </w:tr>
      <w:tr w:rsidR="00F648A9" w:rsidRPr="00A261C5" w:rsidTr="00F648A9">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F648A9" w:rsidRPr="00A261C5" w:rsidRDefault="00F648A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521" w:type="dxa"/>
            <w:tcBorders>
              <w:top w:val="nil"/>
              <w:left w:val="nil"/>
              <w:bottom w:val="single" w:sz="4" w:space="0" w:color="auto"/>
              <w:right w:val="single" w:sz="4" w:space="0" w:color="auto"/>
            </w:tcBorders>
            <w:shd w:val="clear" w:color="000000" w:fill="FFFFFF"/>
            <w:hideMark/>
          </w:tcPr>
          <w:p w:rsidR="00F648A9" w:rsidRPr="009059C5" w:rsidRDefault="00F648A9">
            <w:pPr>
              <w:rPr>
                <w:rFonts w:ascii="Times New Roman" w:hAnsi="Times New Roman" w:cs="Times New Roman"/>
                <w:color w:val="000000"/>
                <w:sz w:val="24"/>
                <w:szCs w:val="24"/>
              </w:rPr>
            </w:pPr>
            <w:r w:rsidRPr="00F648A9">
              <w:rPr>
                <w:rFonts w:ascii="Times New Roman" w:hAnsi="Times New Roman" w:cs="Times New Roman"/>
                <w:color w:val="000000"/>
                <w:sz w:val="24"/>
                <w:szCs w:val="24"/>
              </w:rPr>
              <w:t xml:space="preserve">Катетер для </w:t>
            </w:r>
            <w:proofErr w:type="spellStart"/>
            <w:r w:rsidRPr="00F648A9">
              <w:rPr>
                <w:rFonts w:ascii="Times New Roman" w:hAnsi="Times New Roman" w:cs="Times New Roman"/>
                <w:color w:val="000000"/>
                <w:sz w:val="24"/>
                <w:szCs w:val="24"/>
              </w:rPr>
              <w:t>эмболектомии</w:t>
            </w:r>
            <w:proofErr w:type="spellEnd"/>
          </w:p>
        </w:tc>
        <w:tc>
          <w:tcPr>
            <w:tcW w:w="8363" w:type="dxa"/>
            <w:tcBorders>
              <w:top w:val="nil"/>
              <w:left w:val="nil"/>
              <w:bottom w:val="single" w:sz="4" w:space="0" w:color="auto"/>
              <w:right w:val="single" w:sz="4" w:space="0" w:color="auto"/>
            </w:tcBorders>
            <w:shd w:val="clear" w:color="000000" w:fill="FFFFFF"/>
            <w:hideMark/>
          </w:tcPr>
          <w:p w:rsidR="00F648A9" w:rsidRPr="00F648A9" w:rsidRDefault="00F648A9" w:rsidP="00F648A9">
            <w:pPr>
              <w:rPr>
                <w:rFonts w:ascii="Times New Roman" w:hAnsi="Times New Roman" w:cs="Times New Roman"/>
              </w:rPr>
            </w:pPr>
            <w:r w:rsidRPr="00F648A9">
              <w:rPr>
                <w:rFonts w:ascii="Times New Roman" w:hAnsi="Times New Roman" w:cs="Times New Roman"/>
              </w:rPr>
              <w:t xml:space="preserve">Катетер для </w:t>
            </w:r>
            <w:proofErr w:type="spellStart"/>
            <w:r w:rsidRPr="00F648A9">
              <w:rPr>
                <w:rFonts w:ascii="Times New Roman" w:hAnsi="Times New Roman" w:cs="Times New Roman"/>
              </w:rPr>
              <w:t>эмболектомии</w:t>
            </w:r>
            <w:proofErr w:type="spellEnd"/>
            <w:r w:rsidRPr="00F648A9">
              <w:rPr>
                <w:rFonts w:ascii="Times New Roman" w:hAnsi="Times New Roman" w:cs="Times New Roman"/>
              </w:rPr>
              <w:t xml:space="preserve"> </w:t>
            </w:r>
            <w:r>
              <w:rPr>
                <w:rFonts w:ascii="Times New Roman" w:hAnsi="Times New Roman" w:cs="Times New Roman"/>
              </w:rPr>
              <w:t>одноканальный № 5</w:t>
            </w:r>
          </w:p>
          <w:p w:rsidR="00F648A9" w:rsidRPr="009059C5" w:rsidRDefault="00F648A9" w:rsidP="00F648A9">
            <w:pPr>
              <w:rPr>
                <w:rFonts w:ascii="Times New Roman" w:hAnsi="Times New Roman" w:cs="Times New Roman"/>
                <w:color w:val="000000"/>
                <w:sz w:val="24"/>
                <w:szCs w:val="24"/>
              </w:rPr>
            </w:pPr>
            <w:r w:rsidRPr="00F648A9">
              <w:rPr>
                <w:rFonts w:ascii="Times New Roman" w:hAnsi="Times New Roman" w:cs="Times New Roman"/>
              </w:rPr>
              <w:t>Длина 40, 60 и 80 см</w:t>
            </w:r>
            <w:r>
              <w:rPr>
                <w:rFonts w:ascii="Times New Roman" w:hAnsi="Times New Roman" w:cs="Times New Roman"/>
              </w:rPr>
              <w:t>.</w:t>
            </w:r>
          </w:p>
        </w:tc>
        <w:tc>
          <w:tcPr>
            <w:tcW w:w="793" w:type="dxa"/>
            <w:tcBorders>
              <w:top w:val="nil"/>
              <w:left w:val="nil"/>
              <w:bottom w:val="single" w:sz="4" w:space="0" w:color="auto"/>
              <w:right w:val="single" w:sz="4" w:space="0" w:color="auto"/>
            </w:tcBorders>
            <w:shd w:val="clear" w:color="000000" w:fill="FFFFFF"/>
            <w:vAlign w:val="center"/>
            <w:hideMark/>
          </w:tcPr>
          <w:p w:rsidR="00F648A9" w:rsidRPr="009059C5" w:rsidRDefault="00F648A9" w:rsidP="009059C5">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F648A9" w:rsidRPr="009059C5" w:rsidRDefault="00F648A9" w:rsidP="009059C5">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nil"/>
              <w:left w:val="nil"/>
              <w:bottom w:val="single" w:sz="4" w:space="0" w:color="auto"/>
              <w:right w:val="single" w:sz="4" w:space="0" w:color="auto"/>
            </w:tcBorders>
            <w:shd w:val="clear" w:color="000000" w:fill="FFFFFF"/>
            <w:vAlign w:val="center"/>
            <w:hideMark/>
          </w:tcPr>
          <w:p w:rsidR="00F648A9" w:rsidRPr="009059C5" w:rsidRDefault="00F648A9" w:rsidP="009059C5">
            <w:pPr>
              <w:jc w:val="center"/>
              <w:rPr>
                <w:rFonts w:ascii="Times New Roman" w:hAnsi="Times New Roman" w:cs="Times New Roman"/>
                <w:sz w:val="24"/>
                <w:szCs w:val="24"/>
              </w:rPr>
            </w:pPr>
            <w:r>
              <w:rPr>
                <w:rFonts w:ascii="Times New Roman" w:hAnsi="Times New Roman" w:cs="Times New Roman"/>
                <w:sz w:val="24"/>
                <w:szCs w:val="24"/>
              </w:rPr>
              <w:t>22 000</w:t>
            </w:r>
          </w:p>
        </w:tc>
        <w:tc>
          <w:tcPr>
            <w:tcW w:w="1289" w:type="dxa"/>
            <w:tcBorders>
              <w:top w:val="nil"/>
              <w:left w:val="nil"/>
              <w:bottom w:val="single" w:sz="4" w:space="0" w:color="auto"/>
              <w:right w:val="single" w:sz="4" w:space="0" w:color="auto"/>
            </w:tcBorders>
            <w:shd w:val="clear" w:color="000000" w:fill="FFFFFF"/>
            <w:vAlign w:val="center"/>
            <w:hideMark/>
          </w:tcPr>
          <w:p w:rsidR="00F648A9" w:rsidRPr="009059C5" w:rsidRDefault="00F648A9" w:rsidP="009059C5">
            <w:pPr>
              <w:jc w:val="center"/>
              <w:rPr>
                <w:rFonts w:ascii="Times New Roman" w:hAnsi="Times New Roman" w:cs="Times New Roman"/>
                <w:sz w:val="24"/>
                <w:szCs w:val="24"/>
              </w:rPr>
            </w:pPr>
            <w:r>
              <w:rPr>
                <w:rFonts w:ascii="Times New Roman" w:hAnsi="Times New Roman" w:cs="Times New Roman"/>
                <w:sz w:val="24"/>
                <w:szCs w:val="24"/>
              </w:rPr>
              <w:t>440 000</w:t>
            </w:r>
          </w:p>
        </w:tc>
      </w:tr>
      <w:tr w:rsidR="0043677C" w:rsidRPr="00A261C5" w:rsidTr="00F648A9">
        <w:trPr>
          <w:trHeight w:val="100"/>
        </w:trPr>
        <w:tc>
          <w:tcPr>
            <w:tcW w:w="755"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2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36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93"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89" w:type="dxa"/>
            <w:tcBorders>
              <w:top w:val="nil"/>
              <w:left w:val="nil"/>
              <w:bottom w:val="single" w:sz="4" w:space="0" w:color="auto"/>
              <w:right w:val="single" w:sz="4" w:space="0" w:color="auto"/>
            </w:tcBorders>
            <w:shd w:val="clear" w:color="000000" w:fill="FFFFFF"/>
            <w:hideMark/>
          </w:tcPr>
          <w:p w:rsidR="00A261C5" w:rsidRPr="00A261C5" w:rsidRDefault="00F648A9"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2 200 000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B96023">
        <w:rPr>
          <w:spacing w:val="2"/>
          <w:sz w:val="22"/>
          <w:szCs w:val="22"/>
        </w:rPr>
        <w:t>Склад ИМН.</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w:t>
      </w:r>
      <w:r w:rsidR="0043677C">
        <w:rPr>
          <w:color w:val="000000"/>
        </w:rPr>
        <w:t>со дня подачи заявки Заказчиком.</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9059C5">
        <w:rPr>
          <w:spacing w:val="2"/>
          <w:sz w:val="22"/>
          <w:szCs w:val="22"/>
        </w:rPr>
        <w:t>1</w:t>
      </w:r>
      <w:r w:rsidR="00F648A9">
        <w:rPr>
          <w:spacing w:val="2"/>
          <w:sz w:val="22"/>
          <w:szCs w:val="22"/>
        </w:rPr>
        <w:t>7</w:t>
      </w:r>
      <w:r w:rsidR="00E066B9">
        <w:rPr>
          <w:spacing w:val="2"/>
          <w:sz w:val="22"/>
          <w:szCs w:val="22"/>
        </w:rPr>
        <w:t xml:space="preserve"> </w:t>
      </w:r>
      <w:r w:rsidR="00A0480F">
        <w:rPr>
          <w:spacing w:val="2"/>
          <w:sz w:val="22"/>
          <w:szCs w:val="22"/>
        </w:rPr>
        <w:t>июн</w:t>
      </w:r>
      <w:r w:rsidR="00E066B9">
        <w:rPr>
          <w:spacing w:val="2"/>
          <w:sz w:val="22"/>
          <w:szCs w:val="22"/>
        </w:rPr>
        <w:t>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24</w:t>
      </w:r>
      <w:r w:rsidR="00A0480F">
        <w:rPr>
          <w:spacing w:val="2"/>
          <w:sz w:val="22"/>
          <w:szCs w:val="22"/>
        </w:rPr>
        <w:t xml:space="preserve"> июн</w:t>
      </w:r>
      <w:r w:rsidR="00E066B9">
        <w:rPr>
          <w:spacing w:val="2"/>
          <w:sz w:val="22"/>
          <w:szCs w:val="22"/>
        </w:rPr>
        <w:t>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9059C5">
        <w:rPr>
          <w:spacing w:val="2"/>
          <w:sz w:val="22"/>
          <w:szCs w:val="22"/>
        </w:rPr>
        <w:t>2</w:t>
      </w:r>
      <w:r w:rsidR="00F648A9">
        <w:rPr>
          <w:spacing w:val="2"/>
          <w:sz w:val="22"/>
          <w:szCs w:val="22"/>
        </w:rPr>
        <w:t>4</w:t>
      </w:r>
      <w:r w:rsidR="005B3BA4">
        <w:rPr>
          <w:spacing w:val="2"/>
          <w:sz w:val="22"/>
          <w:szCs w:val="22"/>
        </w:rPr>
        <w:t xml:space="preserve"> </w:t>
      </w:r>
      <w:r w:rsidR="00A0480F">
        <w:rPr>
          <w:spacing w:val="2"/>
          <w:sz w:val="22"/>
          <w:szCs w:val="22"/>
        </w:rPr>
        <w:t>июн</w:t>
      </w:r>
      <w:r w:rsidR="00826328">
        <w:rPr>
          <w:spacing w:val="2"/>
          <w:sz w:val="22"/>
          <w:szCs w:val="22"/>
        </w:rPr>
        <w:t>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9059C5">
        <w:rPr>
          <w:spacing w:val="2"/>
          <w:sz w:val="22"/>
          <w:szCs w:val="22"/>
        </w:rPr>
        <w:t>2</w:t>
      </w:r>
      <w:r w:rsidR="00F648A9">
        <w:rPr>
          <w:spacing w:val="2"/>
          <w:sz w:val="22"/>
          <w:szCs w:val="22"/>
        </w:rPr>
        <w:t>4</w:t>
      </w:r>
      <w:r w:rsidR="00826328" w:rsidRPr="006B6FB4">
        <w:rPr>
          <w:spacing w:val="2"/>
          <w:sz w:val="22"/>
          <w:szCs w:val="22"/>
        </w:rPr>
        <w:t xml:space="preserve"> </w:t>
      </w:r>
      <w:r w:rsidR="00A0480F">
        <w:rPr>
          <w:spacing w:val="2"/>
          <w:sz w:val="22"/>
          <w:szCs w:val="22"/>
        </w:rPr>
        <w:t>июн</w:t>
      </w:r>
      <w:r w:rsidR="00C45A81" w:rsidRPr="006B6FB4">
        <w:rPr>
          <w:spacing w:val="2"/>
          <w:sz w:val="22"/>
          <w:szCs w:val="22"/>
        </w:rPr>
        <w:t>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94A27"/>
    <w:rsid w:val="003A1EA6"/>
    <w:rsid w:val="003A67FF"/>
    <w:rsid w:val="003B281A"/>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54560"/>
    <w:rsid w:val="00F54E2D"/>
    <w:rsid w:val="00F612FE"/>
    <w:rsid w:val="00F6285F"/>
    <w:rsid w:val="00F63126"/>
    <w:rsid w:val="00F648A9"/>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871AE-72BD-40D9-9AFF-E70143E4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1</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514</cp:revision>
  <cp:lastPrinted>2020-06-16T10:20:00Z</cp:lastPrinted>
  <dcterms:created xsi:type="dcterms:W3CDTF">2017-02-20T06:30:00Z</dcterms:created>
  <dcterms:modified xsi:type="dcterms:W3CDTF">2020-06-16T10:21:00Z</dcterms:modified>
</cp:coreProperties>
</file>